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1C2EA6">
              <w:rPr>
                <w:b/>
                <w:bCs/>
                <w:sz w:val="32"/>
                <w:szCs w:val="32"/>
              </w:rPr>
              <w:t>ЗАБЕЗПЕЧЕННЯ ЄДНОСТІ ВИМІРЮВАНЬ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8C4999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ВК 1</w:t>
            </w:r>
            <w:r w:rsidR="0003018F">
              <w:rPr>
                <w:rFonts w:eastAsia="Calibri"/>
                <w:bCs/>
                <w:sz w:val="24"/>
                <w:szCs w:val="24"/>
                <w:lang w:eastAsia="en-US"/>
              </w:rPr>
              <w:t>.16</w:t>
            </w:r>
            <w:r w:rsidR="0003018F">
              <w:rPr>
                <w:b/>
                <w:bCs/>
                <w:sz w:val="24"/>
                <w:szCs w:val="24"/>
              </w:rPr>
              <w:t xml:space="preserve"> </w:t>
            </w:r>
            <w:r w:rsidR="0003018F">
              <w:rPr>
                <w:sz w:val="24"/>
                <w:szCs w:val="24"/>
              </w:rPr>
              <w:t>Забезпечення єдності вимірювань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C4999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8C4999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8C4999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8C4999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8C4999">
              <w:rPr>
                <w:color w:val="000000" w:themeColor="text1"/>
                <w:sz w:val="24"/>
                <w:szCs w:val="24"/>
              </w:rPr>
              <w:t>ології</w:t>
            </w:r>
            <w:bookmarkStart w:id="0" w:name="_GoBack"/>
            <w:bookmarkEnd w:id="0"/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390574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 і 6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10 і 11)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CC2A5F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 «Електротехніка», «Електроніка»), фахових дисциплін цього циклу («Технічна творчість», «Товарознавство, якість та експертиза продукції і послуг», «Стандартизація продукції та послуг» та ін.).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F2F64" w:rsidRDefault="00086A86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8F2F64">
              <w:rPr>
                <w:bCs/>
                <w:lang w:val="uk-UA"/>
              </w:rPr>
              <w:t>Засвоєння</w:t>
            </w:r>
            <w:r w:rsidRPr="008F2F64">
              <w:rPr>
                <w:lang w:val="uk-UA"/>
              </w:rPr>
              <w:t xml:space="preserve"> знань щодо методів і засобів забезпечення єдності вимірювань та </w:t>
            </w:r>
            <w:r w:rsidRPr="008F2F64">
              <w:rPr>
                <w:shd w:val="clear" w:color="auto" w:fill="FFFFFF"/>
                <w:lang w:val="uk-UA"/>
              </w:rPr>
              <w:t>систем відтворення величин і передачі їх розмірів робочим засобам вимірювань з установленою точністю</w:t>
            </w:r>
            <w:r w:rsidRPr="008F2F64">
              <w:rPr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CA044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ОРН1. </w:t>
            </w:r>
            <w:r w:rsidRPr="008F2F64">
              <w:rPr>
                <w:lang w:val="uk-UA" w:eastAsia="en-US"/>
              </w:rPr>
              <w:t>Визначати основні вимоги нормативної документації та особливості її застосування при забезпеченні єдності вимірювань.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A47092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ОРН2. </w:t>
            </w:r>
            <w:r w:rsidRPr="008F2F64">
              <w:rPr>
                <w:lang w:val="uk-UA" w:eastAsia="en-US"/>
              </w:rPr>
              <w:t>Застосовувати методологію метрологічного забезпечення виробництва на всіх його етапах згідно з нормативними вимогами.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5B2A53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 xml:space="preserve">ОРН3. </w:t>
            </w:r>
            <w:r w:rsidRPr="008F2F64">
              <w:rPr>
                <w:shd w:val="clear" w:color="auto" w:fill="FFFFFF"/>
                <w:lang w:val="uk-UA"/>
              </w:rPr>
              <w:t>Вибирати систему відтворення величин і передачі їх розмірів робочим засобам вимірювань з установленою точністю.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8F2F64" w:rsidRDefault="0030484E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8F2F64">
              <w:rPr>
                <w:lang w:val="uk-UA"/>
              </w:rPr>
              <w:t xml:space="preserve">ОРН4. Оцінювати необхідність впровадження нових методів, </w:t>
            </w:r>
            <w:proofErr w:type="spellStart"/>
            <w:r w:rsidRPr="008F2F64">
              <w:rPr>
                <w:lang w:val="uk-UA"/>
              </w:rPr>
              <w:t>методик</w:t>
            </w:r>
            <w:proofErr w:type="spellEnd"/>
            <w:r w:rsidRPr="008F2F64">
              <w:rPr>
                <w:lang w:val="uk-UA"/>
              </w:rPr>
              <w:t>, еталонів, стандартних зразків та організувати їх використання</w:t>
            </w:r>
            <w:r w:rsidR="00067839" w:rsidRPr="008F2F64">
              <w:rPr>
                <w:bCs/>
                <w:lang w:val="uk-UA"/>
              </w:rPr>
              <w:t>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lang w:val="uk-UA"/>
              </w:rPr>
              <w:t>Розділ 1. Основи забезпечення єдності вимірювання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2. </w:t>
            </w:r>
            <w:r w:rsidRPr="008F2F64">
              <w:rPr>
                <w:lang w:val="uk-UA"/>
              </w:rPr>
              <w:t>Класифікація еталонів одиниць фізичних величин</w:t>
            </w:r>
          </w:p>
          <w:p w:rsidR="00CB0BA4" w:rsidRPr="008F2F64" w:rsidRDefault="00CB0BA4">
            <w:pPr>
              <w:pStyle w:val="Default"/>
              <w:divId w:val="40792192"/>
              <w:rPr>
                <w:lang w:val="uk-UA"/>
              </w:rPr>
            </w:pPr>
            <w:r w:rsidRPr="008F2F64">
              <w:rPr>
                <w:color w:val="auto"/>
                <w:lang w:val="uk-UA"/>
              </w:rPr>
              <w:t xml:space="preserve">Розділ 3. </w:t>
            </w:r>
            <w:r w:rsidRPr="008F2F64">
              <w:rPr>
                <w:lang w:val="uk-UA"/>
              </w:rPr>
              <w:t>Еталони одиниць системи СІ</w:t>
            </w:r>
          </w:p>
          <w:p w:rsidR="00736246" w:rsidRPr="008F2F64" w:rsidRDefault="00CB0BA4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Розділ 4. Забезпечення єдності та однозначності вимірювання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Необхідною умовою отримання позитивної оцінки з розділів 1, 2,</w:t>
            </w:r>
            <w:r w:rsidRPr="008F2F64">
              <w:rPr>
                <w:color w:val="000000" w:themeColor="text1"/>
                <w:lang w:val="uk-UA"/>
              </w:rPr>
              <w:t xml:space="preserve"> 3 та 4 є відпрацювання та надання звіту з усіх практичних і лабораторних робіт (та індивідуального завдання – для студентів заочної форми навчання) відповідного розділу. 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color w:val="000000" w:themeColor="text1"/>
                <w:lang w:val="uk-UA"/>
              </w:rPr>
            </w:pPr>
            <w:r w:rsidRPr="008F2F64">
              <w:rPr>
                <w:color w:val="000000" w:themeColor="text1"/>
                <w:lang w:val="uk-UA"/>
              </w:rPr>
              <w:t xml:space="preserve">Семестрова оцінка 13-го </w:t>
            </w:r>
            <w:proofErr w:type="spellStart"/>
            <w:r w:rsidRPr="008F2F64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8F2F64">
              <w:rPr>
                <w:color w:val="000000" w:themeColor="text1"/>
                <w:lang w:val="uk-UA"/>
              </w:rPr>
              <w:t xml:space="preserve"> визначається як середнє арифметичне оцінок 1 та 2 розділів з округленням до цілого числа. </w:t>
            </w:r>
          </w:p>
          <w:p w:rsidR="0086641A" w:rsidRPr="008F2F64" w:rsidRDefault="0086641A">
            <w:pPr>
              <w:pStyle w:val="Default"/>
              <w:shd w:val="clear" w:color="auto" w:fill="FFFFFF"/>
              <w:ind w:left="34" w:firstLine="159"/>
              <w:jc w:val="both"/>
              <w:divId w:val="1301225722"/>
              <w:rPr>
                <w:lang w:val="uk-UA"/>
              </w:rPr>
            </w:pPr>
            <w:r w:rsidRPr="008F2F64">
              <w:rPr>
                <w:lang w:val="uk-UA"/>
              </w:rPr>
              <w:t xml:space="preserve">Семестрова оцінка 14-го </w:t>
            </w:r>
            <w:proofErr w:type="spellStart"/>
            <w:r w:rsidRPr="008F2F64">
              <w:rPr>
                <w:lang w:val="uk-UA"/>
              </w:rPr>
              <w:t>півсеместру</w:t>
            </w:r>
            <w:proofErr w:type="spellEnd"/>
            <w:r w:rsidRPr="008F2F64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8F2F64" w:rsidRDefault="0086641A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8F2F64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</w:t>
            </w:r>
            <w:r w:rsidRPr="008638DB">
              <w:rPr>
                <w:color w:val="000000" w:themeColor="text1"/>
                <w:lang w:val="uk-UA"/>
              </w:rPr>
              <w:lastRenderedPageBreak/>
              <w:t>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145F21" w:rsidRDefault="00145F21">
            <w:pPr>
              <w:tabs>
                <w:tab w:val="left" w:pos="0"/>
              </w:tabs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145F21" w:rsidRDefault="00145F21" w:rsidP="00145F21">
            <w:pPr>
              <w:pStyle w:val="11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Закон України "</w:t>
            </w:r>
            <w:r>
              <w:rPr>
                <w:bCs/>
                <w:shd w:val="clear" w:color="auto" w:fill="FFFFFF"/>
                <w:lang w:val="uk-UA"/>
              </w:rPr>
              <w:t>Про метрологію та метрологічну діяльність</w:t>
            </w:r>
            <w:r>
              <w:rPr>
                <w:lang w:val="uk-UA"/>
              </w:rPr>
              <w:t>" (актуалізовані редакції).</w:t>
            </w:r>
          </w:p>
          <w:p w:rsidR="00145F21" w:rsidRDefault="00145F21" w:rsidP="00145F21">
            <w:pPr>
              <w:pStyle w:val="11"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lang w:val="uk-UA"/>
              </w:rPr>
            </w:pPr>
            <w:r>
              <w:rPr>
                <w:lang w:val="uk-UA"/>
              </w:rPr>
              <w:t>ДСТУ 3231-2007. Метрологія. Еталони одиниць фізичних величин. Основні положення, порядок розроблення, затвердження, реєстрації, зберігання та застосування. К.: Держстандарт, 2007. 27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Метрологія, забезпечення єдності вимірювань та еталони одиниць фізичних величин: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К.О. </w:t>
            </w:r>
            <w:proofErr w:type="spellStart"/>
            <w:r>
              <w:rPr>
                <w:sz w:val="24"/>
                <w:szCs w:val="24"/>
              </w:rPr>
              <w:t>Чорноіваненко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”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А.Л.”, 2018. 164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 та засоби інформаційно-вимірювальної техніки, випробувань і контролю: Підручник (з грифом Вченої ради </w:t>
            </w:r>
            <w:proofErr w:type="spellStart"/>
            <w:r>
              <w:rPr>
                <w:sz w:val="24"/>
                <w:szCs w:val="24"/>
              </w:rPr>
              <w:t>НМетАУ</w:t>
            </w:r>
            <w:proofErr w:type="spellEnd"/>
            <w:r>
              <w:rPr>
                <w:sz w:val="24"/>
                <w:szCs w:val="24"/>
              </w:rPr>
              <w:t xml:space="preserve">) / Є.О. </w:t>
            </w:r>
            <w:proofErr w:type="spellStart"/>
            <w:r>
              <w:rPr>
                <w:sz w:val="24"/>
                <w:szCs w:val="24"/>
              </w:rPr>
              <w:t>Петльований</w:t>
            </w:r>
            <w:proofErr w:type="spellEnd"/>
            <w:r>
              <w:rPr>
                <w:sz w:val="24"/>
                <w:szCs w:val="24"/>
              </w:rPr>
              <w:t xml:space="preserve"> та ін. Дніпро: Видавництво «</w:t>
            </w:r>
            <w:proofErr w:type="spellStart"/>
            <w:r>
              <w:rPr>
                <w:sz w:val="24"/>
                <w:szCs w:val="24"/>
              </w:rPr>
              <w:t>Свідлер</w:t>
            </w:r>
            <w:proofErr w:type="spellEnd"/>
            <w:r>
              <w:rPr>
                <w:sz w:val="24"/>
                <w:szCs w:val="24"/>
              </w:rPr>
              <w:t xml:space="preserve"> А.Л.», 2018. 191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Є.С. Поліщук та ін. Львів: Бескет Біт, 2003. 544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Метрологія та вимірювальна техніка / В.В. Кухарчук та ін. Вінниця: УНІВЕРСУМ-Вінниця, 2004. 252 с</w:t>
            </w:r>
          </w:p>
          <w:p w:rsidR="00145F21" w:rsidRDefault="00145F21">
            <w:pPr>
              <w:spacing w:after="120"/>
              <w:divId w:val="2076538784"/>
              <w:rPr>
                <w:b/>
                <w:i/>
                <w:sz w:val="24"/>
                <w:szCs w:val="24"/>
              </w:rPr>
            </w:pPr>
          </w:p>
          <w:p w:rsidR="00145F21" w:rsidRDefault="00145F21">
            <w:pPr>
              <w:spacing w:after="120"/>
              <w:ind w:firstLine="709"/>
              <w:jc w:val="center"/>
              <w:divId w:val="20765387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Полішко</w:t>
            </w:r>
            <w:proofErr w:type="spellEnd"/>
            <w:r>
              <w:rPr>
                <w:sz w:val="24"/>
                <w:szCs w:val="24"/>
              </w:rPr>
              <w:t xml:space="preserve"> С.П. Метрологія. Книга 1. Фізичні величини, одиниці та перевірні схеми засобів вимірювання: навчальний посібник. К.: ІСДО, 1994. 248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Боженко Л.І. Метрологія, стандартизація, сертифікація та акредитація: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Львів: Афіша, 2004. 324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autoSpaceDE/>
              <w:adjustRightInd/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В.В. Метрологія, стандартизація і сертифікація: Підручник. К.: Центр навчальної літератури, 2006. 264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Цюцюра</w:t>
            </w:r>
            <w:proofErr w:type="spellEnd"/>
            <w:r>
              <w:rPr>
                <w:sz w:val="24"/>
                <w:szCs w:val="24"/>
              </w:rPr>
              <w:t xml:space="preserve"> В.Д. Метрологія та основи вимірювань: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>. посібник. К.: Знання-Прес, 2003. 287 с.</w:t>
            </w:r>
          </w:p>
          <w:p w:rsidR="00145F21" w:rsidRDefault="00145F21" w:rsidP="00145F21">
            <w:pPr>
              <w:widowControl/>
              <w:numPr>
                <w:ilvl w:val="0"/>
                <w:numId w:val="7"/>
              </w:numPr>
              <w:ind w:left="714" w:hanging="357"/>
              <w:jc w:val="both"/>
              <w:divId w:val="20765387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>
              <w:rPr>
                <w:sz w:val="24"/>
                <w:szCs w:val="24"/>
              </w:rPr>
              <w:t>Радкевич</w:t>
            </w:r>
            <w:proofErr w:type="spellEnd"/>
            <w:r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736246" w:rsidRPr="00FC50DC" w:rsidRDefault="00736246" w:rsidP="00145F21">
            <w:pPr>
              <w:pStyle w:val="Default"/>
              <w:ind w:left="193"/>
              <w:jc w:val="both"/>
              <w:rPr>
                <w:color w:val="000000" w:themeColor="text1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018F"/>
    <w:rsid w:val="00031A34"/>
    <w:rsid w:val="000577EB"/>
    <w:rsid w:val="00067839"/>
    <w:rsid w:val="00072120"/>
    <w:rsid w:val="00086A86"/>
    <w:rsid w:val="0009410A"/>
    <w:rsid w:val="000A1BC7"/>
    <w:rsid w:val="001014D1"/>
    <w:rsid w:val="00117624"/>
    <w:rsid w:val="00123EA6"/>
    <w:rsid w:val="00136AD6"/>
    <w:rsid w:val="00145F21"/>
    <w:rsid w:val="00182184"/>
    <w:rsid w:val="00184500"/>
    <w:rsid w:val="0019225C"/>
    <w:rsid w:val="001C2EA6"/>
    <w:rsid w:val="00256A48"/>
    <w:rsid w:val="00264553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E13B2"/>
    <w:rsid w:val="006259AA"/>
    <w:rsid w:val="006462BC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6157E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C4999"/>
    <w:rsid w:val="008E5FE5"/>
    <w:rsid w:val="008F2B88"/>
    <w:rsid w:val="008F2F64"/>
    <w:rsid w:val="00951A11"/>
    <w:rsid w:val="0095666A"/>
    <w:rsid w:val="009636CF"/>
    <w:rsid w:val="00965C51"/>
    <w:rsid w:val="009A4A70"/>
    <w:rsid w:val="009D5958"/>
    <w:rsid w:val="00A41636"/>
    <w:rsid w:val="00A43240"/>
    <w:rsid w:val="00A47092"/>
    <w:rsid w:val="00A51150"/>
    <w:rsid w:val="00A55E5D"/>
    <w:rsid w:val="00A6277F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DE715C"/>
    <w:rsid w:val="00E37614"/>
    <w:rsid w:val="00E43830"/>
    <w:rsid w:val="00E85818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C6F28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6455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76</cp:revision>
  <dcterms:created xsi:type="dcterms:W3CDTF">2023-01-07T22:35:00Z</dcterms:created>
  <dcterms:modified xsi:type="dcterms:W3CDTF">2023-02-27T04:49:00Z</dcterms:modified>
</cp:coreProperties>
</file>