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DE715C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lang w:val="uk-UA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B15D46">
              <w:rPr>
                <w:b/>
                <w:bCs/>
                <w:sz w:val="28"/>
                <w:szCs w:val="28"/>
              </w:rPr>
              <w:t>КОМП’ЮТЕРНІ МЕТОДИ РОЗВ’ЯЗАННЯ  МАТЕМАТИЧНИХ ТА ІНЖЕНЕРНИХ ЗАДАЧ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AF642C" w:rsidRDefault="008E0243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AF642C">
              <w:rPr>
                <w:rFonts w:eastAsia="Calibri"/>
                <w:bCs/>
                <w:sz w:val="24"/>
                <w:szCs w:val="24"/>
                <w:lang w:eastAsia="en-US"/>
              </w:rPr>
              <w:t>ВК 1.15.</w:t>
            </w:r>
            <w:r w:rsidRPr="00AF642C">
              <w:rPr>
                <w:bCs/>
                <w:sz w:val="24"/>
                <w:szCs w:val="24"/>
              </w:rPr>
              <w:t xml:space="preserve"> Комп’ютерні методи розв’язання  математичних та інженерних задач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A3AD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семестри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8F2F64" w:rsidTr="00736246">
        <w:trPr>
          <w:trHeight w:val="383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F2F64" w:rsidTr="00736246">
        <w:trPr>
          <w:trHeight w:val="645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5B51B7" w:rsidRDefault="00EE7DE3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«Алгоритмізація та програмування», «Комп'ютерна графіка», «Електротехніка», «Електроніка»), фахових дисциплін цього циклу («</w:t>
            </w:r>
            <w:r w:rsidRPr="005B51B7">
              <w:rPr>
                <w:bCs/>
                <w:color w:val="000000" w:themeColor="text1"/>
                <w:lang w:val="uk-UA"/>
              </w:rPr>
              <w:t>Опрацювання результатів вимірювань</w:t>
            </w:r>
            <w:r w:rsidRPr="005B51B7">
              <w:rPr>
                <w:color w:val="000000" w:themeColor="text1"/>
                <w:lang w:val="uk-UA"/>
              </w:rPr>
              <w:t>», «Товарознавство, якість та експертиза продукції і послуг», «Стандартизація продукції та послуг» та ін.).</w:t>
            </w:r>
            <w:r w:rsidR="00CC2A5F" w:rsidRPr="005B51B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5B51B7" w:rsidRDefault="00767B27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Отримання базових знань щодо </w:t>
            </w:r>
            <w:r w:rsidRPr="005B51B7">
              <w:rPr>
                <w:bCs/>
                <w:color w:val="000000" w:themeColor="text1"/>
                <w:lang w:val="uk-UA"/>
              </w:rPr>
              <w:t xml:space="preserve">основних підходів до постановки задач </w:t>
            </w:r>
            <w:r w:rsidRPr="005B51B7">
              <w:rPr>
                <w:color w:val="000000" w:themeColor="text1"/>
                <w:lang w:val="uk-UA"/>
              </w:rPr>
              <w:t>при моделюванні об’єктів і процесів під час проведення вимірювальних і випробувальних експериментів</w:t>
            </w:r>
            <w:r w:rsidRPr="005B51B7">
              <w:rPr>
                <w:bCs/>
                <w:color w:val="000000" w:themeColor="text1"/>
                <w:lang w:val="uk-UA"/>
              </w:rPr>
              <w:t>, формування навичок щодо р</w:t>
            </w:r>
            <w:r w:rsidRPr="005B51B7">
              <w:rPr>
                <w:color w:val="000000" w:themeColor="text1"/>
                <w:lang w:val="uk-UA"/>
              </w:rPr>
              <w:t xml:space="preserve">озв’язання вимірювальних та </w:t>
            </w:r>
            <w:r w:rsidRPr="005B51B7">
              <w:rPr>
                <w:color w:val="000000" w:themeColor="text1"/>
                <w:lang w:val="uk-UA"/>
              </w:rPr>
              <w:lastRenderedPageBreak/>
              <w:t xml:space="preserve">випробувальних задач за допомогою програми </w:t>
            </w:r>
            <w:proofErr w:type="spellStart"/>
            <w:r w:rsidRPr="005B51B7">
              <w:rPr>
                <w:color w:val="000000" w:themeColor="text1"/>
                <w:lang w:val="uk-UA"/>
              </w:rPr>
              <w:t>MathCAD</w:t>
            </w:r>
            <w:proofErr w:type="spellEnd"/>
            <w:r w:rsidRPr="005B51B7">
              <w:rPr>
                <w:color w:val="000000" w:themeColor="text1"/>
                <w:lang w:val="uk-UA"/>
              </w:rPr>
              <w:t>, а також засвоєння знань і умінь щодо обчислювальних методів та прийомів під час проведення вимірювальних і випробувальних експериментів.</w:t>
            </w:r>
          </w:p>
        </w:tc>
      </w:tr>
      <w:tr w:rsidR="00C7470E" w:rsidRPr="008F2F64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041FA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 w:eastAsia="en-US"/>
              </w:rPr>
              <w:t xml:space="preserve">ОРН1. Вибирати необхідне комп’ютерне </w:t>
            </w:r>
            <w:r w:rsidRPr="005B51B7">
              <w:rPr>
                <w:color w:val="000000" w:themeColor="text1"/>
                <w:lang w:val="uk-UA"/>
              </w:rPr>
              <w:t>програмне забезпечення, яке сприяє проведенню вимірювальних і випробувальних експериментів.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744926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 w:eastAsia="en-US"/>
              </w:rPr>
              <w:t xml:space="preserve">ОРН2. Застосовувати прийнятний </w:t>
            </w:r>
            <w:r w:rsidRPr="005B51B7">
              <w:rPr>
                <w:color w:val="000000" w:themeColor="text1"/>
                <w:lang w:val="uk-UA"/>
              </w:rPr>
              <w:t>математичний апарат для розв’язання вимірювальних задач.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65283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ОРН3. Класифікувати визначальні риси об’єктів і процесів в рамках вимірювальної або випробувальної задачі та, на сформованій теоретичній базі, змоделювати цей процес із застосуванням комп’ютерних математичних пакетів.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414BFE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ОРН4. </w:t>
            </w:r>
            <w:r w:rsidRPr="005B51B7">
              <w:rPr>
                <w:color w:val="000000" w:themeColor="text1"/>
                <w:lang w:val="uk-UA" w:eastAsia="en-US"/>
              </w:rPr>
              <w:t>Перевіряти</w:t>
            </w:r>
            <w:r w:rsidRPr="005B51B7">
              <w:rPr>
                <w:color w:val="000000" w:themeColor="text1"/>
                <w:lang w:val="uk-UA"/>
              </w:rPr>
              <w:t xml:space="preserve"> </w:t>
            </w:r>
            <w:r w:rsidRPr="005B51B7">
              <w:rPr>
                <w:bCs/>
                <w:color w:val="000000" w:themeColor="text1"/>
                <w:lang w:val="uk-UA"/>
              </w:rPr>
              <w:t xml:space="preserve">правильність постановки задач </w:t>
            </w:r>
            <w:r w:rsidRPr="005B51B7">
              <w:rPr>
                <w:color w:val="000000" w:themeColor="text1"/>
                <w:lang w:val="uk-UA"/>
              </w:rPr>
              <w:t>при моделюванні об’єктів і процесів під час проведення вимірювальних і випробувальних експериментів</w:t>
            </w:r>
            <w:r w:rsidRPr="005B51B7">
              <w:rPr>
                <w:color w:val="000000" w:themeColor="text1"/>
                <w:lang w:val="uk-UA"/>
              </w:rPr>
              <w:t>.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Розділ 1. Підходи до моделювання об’єктів при дослідженнях</w:t>
            </w:r>
          </w:p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Розділ 2. Обчислювальні методи та моделювання при проведенні вимірювань</w:t>
            </w:r>
          </w:p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3. Розв’язання інженерних задач у середовищі </w:t>
            </w:r>
            <w:proofErr w:type="spellStart"/>
            <w:r w:rsidRPr="005B51B7">
              <w:rPr>
                <w:color w:val="000000" w:themeColor="text1"/>
                <w:lang w:val="uk-UA"/>
              </w:rPr>
              <w:t>MathCAD</w:t>
            </w:r>
            <w:proofErr w:type="spellEnd"/>
          </w:p>
          <w:p w:rsidR="00736246" w:rsidRPr="005B51B7" w:rsidRDefault="00454838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4. Обчислення результатів експериментів засобами середовища </w:t>
            </w:r>
            <w:proofErr w:type="spellStart"/>
            <w:r w:rsidRPr="005B51B7">
              <w:rPr>
                <w:color w:val="000000" w:themeColor="text1"/>
                <w:lang w:val="uk-UA"/>
              </w:rPr>
              <w:t>MathCAD</w:t>
            </w:r>
            <w:proofErr w:type="spellEnd"/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 xml:space="preserve">Необхідною умовою отримання позитивної оцінки з розділів 1, 2, </w:t>
            </w:r>
            <w:r w:rsidRPr="005B51B7">
              <w:rPr>
                <w:color w:val="000000" w:themeColor="text1"/>
                <w:lang w:val="uk-UA"/>
              </w:rPr>
              <w:t xml:space="preserve">3 та 4 є відпрацювання та надання звіту з усіх лабораторних робіт (та індивідуального завдання – для студентів заочної форми навчання) відповідного розділу. 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5B51B7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5B51B7">
              <w:rPr>
                <w:color w:val="000000" w:themeColor="text1"/>
                <w:lang w:val="uk-UA"/>
              </w:rPr>
              <w:t xml:space="preserve"> визначається</w:t>
            </w:r>
            <w:r w:rsidRPr="005B51B7">
              <w:rPr>
                <w:lang w:val="uk-UA"/>
              </w:rPr>
              <w:t xml:space="preserve"> як середнє арифметичне оцінок 1 та 2 розділів з округленням до цілого числа.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Семестрова оцінка 13-го </w:t>
            </w:r>
            <w:proofErr w:type="spellStart"/>
            <w:r w:rsidRPr="005B51B7">
              <w:rPr>
                <w:lang w:val="uk-UA"/>
              </w:rPr>
              <w:t>півсеместру</w:t>
            </w:r>
            <w:proofErr w:type="spellEnd"/>
            <w:r w:rsidRPr="005B51B7"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5B51B7">
              <w:t>Підсумкова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оцінка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дисципліни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визначається</w:t>
            </w:r>
            <w:proofErr w:type="spellEnd"/>
            <w:r w:rsidRPr="005B51B7">
              <w:t xml:space="preserve"> як </w:t>
            </w:r>
            <w:proofErr w:type="spellStart"/>
            <w:r w:rsidRPr="005B51B7">
              <w:t>середнє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арифметичне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оцінок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чотирьох</w:t>
            </w:r>
            <w:proofErr w:type="spellEnd"/>
            <w:r w:rsidRPr="005B51B7">
              <w:t xml:space="preserve"> </w:t>
            </w:r>
            <w:proofErr w:type="spellStart"/>
            <w:r w:rsidRPr="005B51B7">
              <w:t>розділів</w:t>
            </w:r>
            <w:proofErr w:type="spellEnd"/>
            <w:r w:rsidRPr="005B51B7">
              <w:t xml:space="preserve"> з </w:t>
            </w:r>
            <w:proofErr w:type="spellStart"/>
            <w:r w:rsidRPr="005B51B7">
              <w:t>округленням</w:t>
            </w:r>
            <w:proofErr w:type="spellEnd"/>
            <w:r w:rsidRPr="005B51B7">
              <w:t xml:space="preserve"> до </w:t>
            </w:r>
            <w:proofErr w:type="spellStart"/>
            <w:r w:rsidRPr="005B51B7">
              <w:t>цілого</w:t>
            </w:r>
            <w:proofErr w:type="spellEnd"/>
            <w:r w:rsidRPr="005B51B7">
              <w:t xml:space="preserve">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</w:t>
            </w:r>
            <w:r w:rsidRPr="008638DB">
              <w:rPr>
                <w:color w:val="000000" w:themeColor="text1"/>
                <w:lang w:val="uk-UA"/>
              </w:rPr>
              <w:lastRenderedPageBreak/>
              <w:t>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C04830" w:rsidRPr="00F25D8A" w:rsidRDefault="00C04830">
            <w:pPr>
              <w:tabs>
                <w:tab w:val="left" w:pos="0"/>
                <w:tab w:val="left" w:pos="360"/>
              </w:tabs>
              <w:ind w:left="708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F25D8A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r w:rsidRPr="00F25D8A">
              <w:rPr>
                <w:sz w:val="24"/>
                <w:szCs w:val="24"/>
              </w:rPr>
              <w:t xml:space="preserve">Моделювання та </w:t>
            </w:r>
            <w:proofErr w:type="spellStart"/>
            <w:r w:rsidRPr="00F25D8A">
              <w:rPr>
                <w:sz w:val="24"/>
                <w:szCs w:val="24"/>
              </w:rPr>
              <w:t>оптімальні</w:t>
            </w:r>
            <w:proofErr w:type="spellEnd"/>
            <w:r w:rsidRPr="00F25D8A">
              <w:rPr>
                <w:sz w:val="24"/>
                <w:szCs w:val="24"/>
              </w:rPr>
              <w:t xml:space="preserve"> металургійні системи. </w:t>
            </w:r>
            <w:proofErr w:type="spellStart"/>
            <w:r w:rsidRPr="00F25D8A">
              <w:rPr>
                <w:sz w:val="24"/>
                <w:szCs w:val="24"/>
              </w:rPr>
              <w:t>Навч</w:t>
            </w:r>
            <w:proofErr w:type="spellEnd"/>
            <w:r w:rsidRPr="00F25D8A">
              <w:rPr>
                <w:sz w:val="24"/>
                <w:szCs w:val="24"/>
              </w:rPr>
              <w:t>. посібник / В.Б. Охотський та ін. К.: ІЗМН, 1998. 156с.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r w:rsidRPr="00F25D8A">
              <w:rPr>
                <w:sz w:val="24"/>
                <w:szCs w:val="24"/>
              </w:rPr>
              <w:t xml:space="preserve"> Бахрушин  В.Є.  Математичне  моделювання:  Навчальний  посібник. Запоріжжя: ГУ"ЗІДМУ", 2004. 140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Махней</w:t>
            </w:r>
            <w:proofErr w:type="spellEnd"/>
            <w:r w:rsidRPr="00F25D8A">
              <w:rPr>
                <w:sz w:val="24"/>
                <w:szCs w:val="24"/>
              </w:rPr>
              <w:t xml:space="preserve"> О.В. Математичне моделювання Навчальний посібник. Івано-Франківськ: Супрун В. П., 2015. 372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Пинчук</w:t>
            </w:r>
            <w:proofErr w:type="spellEnd"/>
            <w:r w:rsidRPr="00F25D8A">
              <w:rPr>
                <w:sz w:val="24"/>
                <w:szCs w:val="24"/>
              </w:rPr>
              <w:t xml:space="preserve"> С.И. </w:t>
            </w:r>
            <w:proofErr w:type="spellStart"/>
            <w:r w:rsidRPr="00F25D8A">
              <w:rPr>
                <w:sz w:val="24"/>
                <w:szCs w:val="24"/>
              </w:rPr>
              <w:t>Организация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эксперимента</w:t>
            </w:r>
            <w:proofErr w:type="spellEnd"/>
            <w:r w:rsidRPr="00F25D8A">
              <w:rPr>
                <w:sz w:val="24"/>
                <w:szCs w:val="24"/>
              </w:rPr>
              <w:t xml:space="preserve"> при </w:t>
            </w:r>
            <w:proofErr w:type="spellStart"/>
            <w:r w:rsidRPr="00F25D8A">
              <w:rPr>
                <w:sz w:val="24"/>
                <w:szCs w:val="24"/>
              </w:rPr>
              <w:t>моделировании</w:t>
            </w:r>
            <w:proofErr w:type="spellEnd"/>
            <w:r w:rsidRPr="00F25D8A">
              <w:rPr>
                <w:sz w:val="24"/>
                <w:szCs w:val="24"/>
              </w:rPr>
              <w:t xml:space="preserve"> и </w:t>
            </w:r>
            <w:proofErr w:type="spellStart"/>
            <w:r w:rsidRPr="00F25D8A">
              <w:rPr>
                <w:sz w:val="24"/>
                <w:szCs w:val="24"/>
              </w:rPr>
              <w:t>оптимизации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технических</w:t>
            </w:r>
            <w:proofErr w:type="spellEnd"/>
            <w:r w:rsidRPr="00F25D8A">
              <w:rPr>
                <w:sz w:val="24"/>
                <w:szCs w:val="24"/>
              </w:rPr>
              <w:t xml:space="preserve"> систем: </w:t>
            </w:r>
            <w:proofErr w:type="spellStart"/>
            <w:r w:rsidRPr="00F25D8A">
              <w:rPr>
                <w:sz w:val="24"/>
                <w:szCs w:val="24"/>
              </w:rPr>
              <w:t>Учебное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пособие</w:t>
            </w:r>
            <w:proofErr w:type="spellEnd"/>
            <w:r w:rsidRPr="00F25D8A">
              <w:rPr>
                <w:sz w:val="24"/>
                <w:szCs w:val="24"/>
              </w:rPr>
              <w:t xml:space="preserve">. </w:t>
            </w:r>
            <w:proofErr w:type="spellStart"/>
            <w:r w:rsidRPr="00F25D8A">
              <w:rPr>
                <w:sz w:val="24"/>
                <w:szCs w:val="24"/>
              </w:rPr>
              <w:t>Днепропетровск</w:t>
            </w:r>
            <w:proofErr w:type="spellEnd"/>
            <w:r w:rsidRPr="00F25D8A">
              <w:rPr>
                <w:sz w:val="24"/>
                <w:szCs w:val="24"/>
              </w:rPr>
              <w:t xml:space="preserve">: ООО </w:t>
            </w:r>
            <w:proofErr w:type="spellStart"/>
            <w:r w:rsidRPr="00F25D8A">
              <w:rPr>
                <w:sz w:val="24"/>
                <w:szCs w:val="24"/>
              </w:rPr>
              <w:t>Независимая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издательская</w:t>
            </w:r>
            <w:proofErr w:type="spellEnd"/>
            <w:r w:rsidRPr="00F25D8A">
              <w:rPr>
                <w:sz w:val="24"/>
                <w:szCs w:val="24"/>
              </w:rPr>
              <w:t xml:space="preserve"> </w:t>
            </w:r>
            <w:proofErr w:type="spellStart"/>
            <w:r w:rsidRPr="00F25D8A">
              <w:rPr>
                <w:sz w:val="24"/>
                <w:szCs w:val="24"/>
              </w:rPr>
              <w:t>организация</w:t>
            </w:r>
            <w:proofErr w:type="spellEnd"/>
            <w:r w:rsidRPr="00F25D8A">
              <w:rPr>
                <w:sz w:val="24"/>
                <w:szCs w:val="24"/>
              </w:rPr>
              <w:t xml:space="preserve"> "Дива", 2008. 248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r w:rsidRPr="00F25D8A">
              <w:rPr>
                <w:sz w:val="24"/>
                <w:szCs w:val="24"/>
              </w:rPr>
              <w:t xml:space="preserve">Сердюк Л.И. Теорія </w:t>
            </w:r>
            <w:proofErr w:type="spellStart"/>
            <w:r w:rsidRPr="00F25D8A">
              <w:rPr>
                <w:sz w:val="24"/>
                <w:szCs w:val="24"/>
              </w:rPr>
              <w:t>розмірностей</w:t>
            </w:r>
            <w:proofErr w:type="spellEnd"/>
            <w:r w:rsidRPr="00F25D8A">
              <w:rPr>
                <w:sz w:val="24"/>
                <w:szCs w:val="24"/>
              </w:rPr>
              <w:t xml:space="preserve">, подібності та математичне моделювання: Посібник. Полтава: </w:t>
            </w:r>
            <w:proofErr w:type="spellStart"/>
            <w:r w:rsidRPr="00F25D8A">
              <w:rPr>
                <w:sz w:val="24"/>
                <w:szCs w:val="24"/>
              </w:rPr>
              <w:t>ПолтНТУ</w:t>
            </w:r>
            <w:proofErr w:type="spellEnd"/>
            <w:r w:rsidRPr="00F25D8A">
              <w:rPr>
                <w:sz w:val="24"/>
                <w:szCs w:val="24"/>
              </w:rPr>
              <w:t>, 2005. 154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Хвищун</w:t>
            </w:r>
            <w:proofErr w:type="spellEnd"/>
            <w:r w:rsidRPr="00F25D8A">
              <w:rPr>
                <w:sz w:val="24"/>
                <w:szCs w:val="24"/>
              </w:rPr>
              <w:t xml:space="preserve"> І.О. Програмування і математичне моделювання. Київ: Видавничий Дім Ін Юре, 2007. 545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r w:rsidRPr="00F25D8A">
              <w:rPr>
                <w:sz w:val="24"/>
                <w:szCs w:val="24"/>
              </w:rPr>
              <w:t xml:space="preserve">Остапчук М.В., </w:t>
            </w:r>
            <w:proofErr w:type="spellStart"/>
            <w:r w:rsidRPr="00F25D8A">
              <w:rPr>
                <w:sz w:val="24"/>
                <w:szCs w:val="24"/>
              </w:rPr>
              <w:t>Станкевич</w:t>
            </w:r>
            <w:proofErr w:type="spellEnd"/>
            <w:r w:rsidRPr="00F25D8A">
              <w:rPr>
                <w:sz w:val="24"/>
                <w:szCs w:val="24"/>
              </w:rPr>
              <w:t xml:space="preserve"> Г.М. Математичне моделювання на ЕОМ. Одеса: Друк, 2006. 313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Сясєв</w:t>
            </w:r>
            <w:proofErr w:type="spellEnd"/>
            <w:r w:rsidRPr="00F25D8A">
              <w:rPr>
                <w:sz w:val="24"/>
                <w:szCs w:val="24"/>
              </w:rPr>
              <w:t xml:space="preserve"> А.В. Вступ до системи </w:t>
            </w:r>
            <w:proofErr w:type="spellStart"/>
            <w:r w:rsidRPr="00F25D8A">
              <w:rPr>
                <w:sz w:val="24"/>
                <w:szCs w:val="24"/>
              </w:rPr>
              <w:t>MathCAD</w:t>
            </w:r>
            <w:proofErr w:type="spellEnd"/>
            <w:r w:rsidRPr="00F25D8A">
              <w:rPr>
                <w:sz w:val="24"/>
                <w:szCs w:val="24"/>
              </w:rPr>
              <w:t>. Дніпропетровськ: Видавництво Дніпропетровського університету, 2004. 108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Швачич</w:t>
            </w:r>
            <w:proofErr w:type="spellEnd"/>
            <w:r w:rsidRPr="00F25D8A">
              <w:rPr>
                <w:sz w:val="24"/>
                <w:szCs w:val="24"/>
              </w:rPr>
              <w:t xml:space="preserve"> Г.Г. Лінійна алгебра в розрахунках середовища </w:t>
            </w:r>
            <w:proofErr w:type="spellStart"/>
            <w:r w:rsidRPr="00F25D8A">
              <w:rPr>
                <w:sz w:val="24"/>
                <w:szCs w:val="24"/>
              </w:rPr>
              <w:t>Mathcad</w:t>
            </w:r>
            <w:proofErr w:type="spellEnd"/>
            <w:r w:rsidRPr="00F25D8A">
              <w:rPr>
                <w:sz w:val="24"/>
                <w:szCs w:val="24"/>
              </w:rPr>
              <w:t>. Дніпропетровськ: Дніпропетровська академія управління, бізнесу та права (ДАУБП), 2000. 236 с.</w:t>
            </w:r>
          </w:p>
          <w:p w:rsidR="00C04830" w:rsidRPr="00F25D8A" w:rsidRDefault="00C04830" w:rsidP="00C04830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ind w:left="0" w:firstLine="708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F25D8A">
              <w:rPr>
                <w:sz w:val="24"/>
                <w:szCs w:val="24"/>
              </w:rPr>
              <w:t>Кундрат</w:t>
            </w:r>
            <w:proofErr w:type="spellEnd"/>
            <w:r w:rsidRPr="00F25D8A">
              <w:rPr>
                <w:sz w:val="24"/>
                <w:szCs w:val="24"/>
              </w:rPr>
              <w:t xml:space="preserve"> А.М., </w:t>
            </w:r>
            <w:proofErr w:type="spellStart"/>
            <w:r w:rsidRPr="00F25D8A">
              <w:rPr>
                <w:sz w:val="24"/>
                <w:szCs w:val="24"/>
              </w:rPr>
              <w:t>Кундрат</w:t>
            </w:r>
            <w:proofErr w:type="spellEnd"/>
            <w:r w:rsidRPr="00F25D8A">
              <w:rPr>
                <w:sz w:val="24"/>
                <w:szCs w:val="24"/>
              </w:rPr>
              <w:t xml:space="preserve"> М.М. Науково-технічні обчислення засобами </w:t>
            </w:r>
            <w:proofErr w:type="spellStart"/>
            <w:r w:rsidRPr="00F25D8A">
              <w:rPr>
                <w:sz w:val="24"/>
                <w:szCs w:val="24"/>
              </w:rPr>
              <w:t>MathCAD</w:t>
            </w:r>
            <w:proofErr w:type="spellEnd"/>
            <w:r w:rsidRPr="00F25D8A">
              <w:rPr>
                <w:sz w:val="24"/>
                <w:szCs w:val="24"/>
              </w:rPr>
              <w:t xml:space="preserve"> та MS Excel: Навчальний посібник. Рівне: НУВГП, 2014. 252 с.</w:t>
            </w:r>
          </w:p>
          <w:p w:rsidR="00C04830" w:rsidRPr="00F25D8A" w:rsidRDefault="00C04830">
            <w:pPr>
              <w:pStyle w:val="1"/>
              <w:shd w:val="clear" w:color="auto" w:fill="FFFFFF"/>
              <w:tabs>
                <w:tab w:val="left" w:pos="360"/>
              </w:tabs>
              <w:spacing w:before="0" w:after="225"/>
              <w:ind w:left="708"/>
              <w:jc w:val="both"/>
              <w:textAlignment w:val="baseline"/>
              <w:divId w:val="39643705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04830" w:rsidRPr="00F25D8A" w:rsidRDefault="00C04830">
            <w:pPr>
              <w:tabs>
                <w:tab w:val="left" w:pos="360"/>
              </w:tabs>
              <w:spacing w:after="120"/>
              <w:ind w:left="708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F25D8A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C04830" w:rsidRPr="00F25D8A" w:rsidRDefault="00C04830" w:rsidP="00C04830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Тарасик В.П.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Математическое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моделирование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технических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систем: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учебник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вузов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/ В.П. Тарасик. -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Минск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ДизайнПРО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2004. – 640 с.</w:t>
            </w:r>
          </w:p>
          <w:p w:rsidR="00C04830" w:rsidRPr="00F25D8A" w:rsidRDefault="00C04830" w:rsidP="00C04830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Федорова С.А.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Основные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этапы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составления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математических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моделей. Севастополь: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СИЯЭиП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2000. 28 с.</w:t>
            </w:r>
          </w:p>
          <w:p w:rsidR="00C04830" w:rsidRPr="00F25D8A" w:rsidRDefault="00C04830" w:rsidP="00C04830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Чисельні методи розв'язання інженерних задач в пакеті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MathCAD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/ Л.В. Васильєва та ін. Краматорськ: ДДМА, 2006. 108 с. </w:t>
            </w:r>
          </w:p>
          <w:p w:rsidR="00C04830" w:rsidRPr="00F25D8A" w:rsidRDefault="00C04830" w:rsidP="00C04830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Новиков В.А.,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Дробыш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А.А.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Язык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математического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моделирования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Mathcad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Учебно-методическое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пособие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Минск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 БНТУ, 2018. 85 с.</w:t>
            </w:r>
          </w:p>
          <w:p w:rsidR="00F25D8A" w:rsidRPr="00F25D8A" w:rsidRDefault="00C04830" w:rsidP="00F25D8A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Толстых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В.К.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Программирование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среде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MathCAD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Учебно-методическое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пособие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Донецк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ДонНУ</w:t>
            </w:r>
            <w:proofErr w:type="spellEnd"/>
            <w:r w:rsidRPr="00F25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2010. 128 с.</w:t>
            </w:r>
          </w:p>
          <w:p w:rsidR="00736246" w:rsidRPr="00F25D8A" w:rsidRDefault="00C04830" w:rsidP="00F25D8A">
            <w:pPr>
              <w:pStyle w:val="1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240" w:lineRule="auto"/>
              <w:ind w:left="0" w:firstLine="708"/>
              <w:jc w:val="both"/>
              <w:divId w:val="3964370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25D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F25D8A">
              <w:rPr>
                <w:rFonts w:ascii="Times New Roman" w:hAnsi="Times New Roman"/>
                <w:sz w:val="24"/>
                <w:szCs w:val="24"/>
                <w:lang w:val="uk-UA"/>
              </w:rPr>
              <w:t>Радкевич</w:t>
            </w:r>
            <w:proofErr w:type="spellEnd"/>
            <w:r w:rsidRPr="00F25D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3"/>
  </w:num>
  <w:num w:numId="3" w16cid:durableId="609169731">
    <w:abstractNumId w:val="1"/>
  </w:num>
  <w:num w:numId="4" w16cid:durableId="195776950">
    <w:abstractNumId w:val="5"/>
  </w:num>
  <w:num w:numId="5" w16cid:durableId="2124225359">
    <w:abstractNumId w:val="4"/>
  </w:num>
  <w:num w:numId="6" w16cid:durableId="1658612330">
    <w:abstractNumId w:val="2"/>
  </w:num>
  <w:num w:numId="7" w16cid:durableId="150766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1A34"/>
    <w:rsid w:val="00041FAB"/>
    <w:rsid w:val="000577EB"/>
    <w:rsid w:val="00067839"/>
    <w:rsid w:val="00072120"/>
    <w:rsid w:val="00086A86"/>
    <w:rsid w:val="0009410A"/>
    <w:rsid w:val="000A1BC7"/>
    <w:rsid w:val="000C1AFF"/>
    <w:rsid w:val="001014D1"/>
    <w:rsid w:val="00117624"/>
    <w:rsid w:val="00123EA6"/>
    <w:rsid w:val="00136AD6"/>
    <w:rsid w:val="00145F21"/>
    <w:rsid w:val="00182184"/>
    <w:rsid w:val="00184500"/>
    <w:rsid w:val="0019225C"/>
    <w:rsid w:val="002201B9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413C90"/>
    <w:rsid w:val="00414BFE"/>
    <w:rsid w:val="00433DDE"/>
    <w:rsid w:val="00454838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B51B7"/>
    <w:rsid w:val="005E13B2"/>
    <w:rsid w:val="006259AA"/>
    <w:rsid w:val="006462BC"/>
    <w:rsid w:val="0065283D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44926"/>
    <w:rsid w:val="0076157E"/>
    <w:rsid w:val="00767B27"/>
    <w:rsid w:val="007745AC"/>
    <w:rsid w:val="00776CD1"/>
    <w:rsid w:val="007929FA"/>
    <w:rsid w:val="007B23EE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0243"/>
    <w:rsid w:val="008E5FE5"/>
    <w:rsid w:val="008F2B88"/>
    <w:rsid w:val="008F2F64"/>
    <w:rsid w:val="00951A11"/>
    <w:rsid w:val="0095666A"/>
    <w:rsid w:val="009636CF"/>
    <w:rsid w:val="00965C51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F642C"/>
    <w:rsid w:val="00B07172"/>
    <w:rsid w:val="00B10D95"/>
    <w:rsid w:val="00B15D46"/>
    <w:rsid w:val="00B36895"/>
    <w:rsid w:val="00B41C97"/>
    <w:rsid w:val="00B4613F"/>
    <w:rsid w:val="00B52A7F"/>
    <w:rsid w:val="00BC2B0F"/>
    <w:rsid w:val="00BC3ECD"/>
    <w:rsid w:val="00C04830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93D63"/>
    <w:rsid w:val="00DD67D5"/>
    <w:rsid w:val="00DE715C"/>
    <w:rsid w:val="00E37614"/>
    <w:rsid w:val="00E43830"/>
    <w:rsid w:val="00E85818"/>
    <w:rsid w:val="00ED12D6"/>
    <w:rsid w:val="00EE7DE3"/>
    <w:rsid w:val="00EF5949"/>
    <w:rsid w:val="00F24D3F"/>
    <w:rsid w:val="00F25D8A"/>
    <w:rsid w:val="00F41DD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708F6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katmovcha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897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7327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90</cp:revision>
  <dcterms:created xsi:type="dcterms:W3CDTF">2023-01-07T22:35:00Z</dcterms:created>
  <dcterms:modified xsi:type="dcterms:W3CDTF">2023-01-14T20:59:00Z</dcterms:modified>
</cp:coreProperties>
</file>