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 w:val="32"/>
          <w:szCs w:val="32"/>
          <w:lang w:eastAsia="uk-UA"/>
        </w:rPr>
      </w:pPr>
      <w:r w:rsidRPr="00264DD3">
        <w:rPr>
          <w:rFonts w:eastAsia="Arial" w:cs="Times New Roman"/>
          <w:sz w:val="32"/>
          <w:szCs w:val="32"/>
          <w:lang w:eastAsia="uk-UA"/>
        </w:rPr>
        <w:t>Український державний університет науки і технологій</w:t>
      </w: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proofErr w:type="spellStart"/>
      <w:r w:rsidRPr="00264DD3">
        <w:rPr>
          <w:rFonts w:eastAsia="Arial" w:cs="Times New Roman"/>
          <w:b/>
          <w:szCs w:val="28"/>
          <w:lang w:eastAsia="uk-UA"/>
        </w:rPr>
        <w:t>Силабус</w:t>
      </w:r>
      <w:proofErr w:type="spellEnd"/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r w:rsidRPr="00264DD3">
        <w:rPr>
          <w:rFonts w:eastAsia="Arial" w:cs="Times New Roman"/>
          <w:b/>
          <w:szCs w:val="28"/>
          <w:lang w:eastAsia="uk-UA"/>
        </w:rPr>
        <w:t>навчальної дисципліни</w:t>
      </w: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r w:rsidRPr="00264DD3">
        <w:rPr>
          <w:rFonts w:eastAsia="Arial" w:cs="Times New Roman"/>
          <w:b/>
          <w:szCs w:val="28"/>
          <w:lang w:eastAsia="uk-UA"/>
        </w:rPr>
        <w:t xml:space="preserve">Проектування підприємств по ремонту колісних та гусеничних транспортних засобів </w:t>
      </w: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r w:rsidRPr="00264DD3">
        <w:rPr>
          <w:rFonts w:eastAsia="Arial" w:cs="Times New Roman"/>
          <w:b/>
          <w:szCs w:val="28"/>
          <w:lang w:eastAsia="uk-UA"/>
        </w:rPr>
        <w:t>освітньо-професійної програми “Галузеве машинобудування”</w:t>
      </w: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</w:p>
    <w:tbl>
      <w:tblPr>
        <w:tblW w:w="9408" w:type="dxa"/>
        <w:jc w:val="center"/>
        <w:tblInd w:w="-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8"/>
        <w:gridCol w:w="6920"/>
      </w:tblGrid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Статус дисципліни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Вибіркова навчальна дисципліна професійної підготовки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Код та назва спеціальності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133 Галузеве машинобудування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Назва освітньої програми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Галузеве машинобудування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Освітній ступень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Перший (бакалаврський)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Обсяг дисципліни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 xml:space="preserve">6 кредитів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ЄКТС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 (180 академічних годин)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BE09D5" w:rsidRDefault="00264DD3" w:rsidP="001F3A4A">
            <w:pPr>
              <w:widowControl w:val="0"/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BE09D5">
              <w:rPr>
                <w:rFonts w:eastAsia="Arial" w:cs="Times New Roman"/>
                <w:szCs w:val="28"/>
                <w:lang w:eastAsia="uk-UA"/>
              </w:rPr>
              <w:t>Термін вивчення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BE09D5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BE09D5">
              <w:rPr>
                <w:rFonts w:eastAsia="Arial" w:cs="Times New Roman"/>
                <w:szCs w:val="28"/>
                <w:lang w:eastAsia="uk-UA"/>
              </w:rPr>
              <w:t>4 курс, 1 семестр, 13 та 14 чверть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Назва кафедри, яка викладає дисципліну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Колісні та гусеничні транспортні засоби (КГТЗ)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Мова викладання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Українська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Лектор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Доцент, канд. техн. наук Назарець Віктор Семенович</w:t>
            </w:r>
          </w:p>
          <w:p w:rsidR="00264DD3" w:rsidRPr="00264DD3" w:rsidRDefault="00BB0EA6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hyperlink r:id="rId6">
              <w:r w:rsidR="00264DD3" w:rsidRPr="00264DD3">
                <w:rPr>
                  <w:rFonts w:eastAsia="Arial" w:cs="Times New Roman"/>
                  <w:color w:val="1155CC"/>
                  <w:szCs w:val="28"/>
                  <w:u w:val="single"/>
                  <w:lang w:eastAsia="uk-UA"/>
                </w:rPr>
                <w:t>v.s.nazarets@ust.edu.ua</w:t>
              </w:r>
            </w:hyperlink>
            <w:r w:rsidR="00264DD3" w:rsidRPr="00264DD3">
              <w:rPr>
                <w:rFonts w:eastAsia="Arial" w:cs="Times New Roman"/>
                <w:color w:val="1155CC"/>
                <w:szCs w:val="28"/>
                <w:u w:val="single"/>
                <w:lang w:eastAsia="uk-UA"/>
              </w:rPr>
              <w:t xml:space="preserve">, </w:t>
            </w:r>
            <w:r w:rsidR="00264DD3" w:rsidRPr="00264DD3">
              <w:rPr>
                <w:rFonts w:eastAsia="Arial" w:cs="Times New Roman"/>
                <w:szCs w:val="28"/>
                <w:lang w:eastAsia="uk-UA"/>
              </w:rPr>
              <w:t>Набережна Перемоги, 38А, кім. 200.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Передумови вивчення дисципліни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- Експлуатація і обслуговування КГТЗ;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- Конструкції КГТЗ;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- Двигуни КГТЗ.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 xml:space="preserve">Мета навчальної </w:t>
            </w:r>
            <w:r w:rsidRPr="00264DD3">
              <w:rPr>
                <w:rFonts w:eastAsia="Arial" w:cs="Times New Roman"/>
                <w:szCs w:val="28"/>
                <w:lang w:eastAsia="uk-UA"/>
              </w:rPr>
              <w:lastRenderedPageBreak/>
              <w:t>дисципліни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lastRenderedPageBreak/>
              <w:t xml:space="preserve">Підготовка фахівців, здатних застосувати сучасні </w:t>
            </w:r>
            <w:r w:rsidRPr="00264DD3">
              <w:rPr>
                <w:rFonts w:eastAsia="Arial" w:cs="Times New Roman"/>
                <w:szCs w:val="28"/>
                <w:lang w:eastAsia="uk-UA"/>
              </w:rPr>
              <w:lastRenderedPageBreak/>
              <w:t>методи проектування на основі моделювання об'єктів та процесів галузевого машинобудування.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lastRenderedPageBreak/>
              <w:t>Очікувані  результати навчання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ЗК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 1. Здатність застосувати інформаційні та комунікаційні  технології.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ФК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 4. Здатність розуміти завдання сучасного виробництва, спрямовані на задоволення потреб споживачів.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ФК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 7. Здатність використовувати творчій та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іноваційний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 потенціал у проектних розробках.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РН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 59 Здатність аналізувати об’єкти проектування і реконструкції діючих ремонтних підприємств для прийняття рішень, що відповідають сучасним вимогам.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РН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 60 Здатність аргументувати прийняття проектних рішень з урахуванням вимог часу до експлуатації обладнання, охорони праці, виробничої санітарії і пожежної безпеки, економічної ефективності, використовуючи досвід комп’ютерного проектування</w:t>
            </w:r>
          </w:p>
        </w:tc>
      </w:tr>
      <w:tr w:rsidR="00264DD3" w:rsidRPr="00264DD3" w:rsidTr="009940EA">
        <w:trPr>
          <w:jc w:val="center"/>
        </w:trPr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Зміст дисципліни</w:t>
            </w:r>
          </w:p>
        </w:tc>
        <w:tc>
          <w:tcPr>
            <w:tcW w:w="6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Розділ 1 Методи ремонту машин.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Розділ 2 Розрахунки показників підприємства.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Розділ 3 Структура цехів основного виробництва.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Розділ 4 Структура механічних цехів.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Розділ 5 Збиральний цех і планування підприємства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Розділ 6 Обкатка машин.</w:t>
            </w:r>
          </w:p>
        </w:tc>
      </w:tr>
    </w:tbl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BE09D5" w:rsidRDefault="00BE09D5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BE09D5" w:rsidRDefault="00BE09D5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BE09D5" w:rsidRDefault="00BE09D5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BE09D5" w:rsidRDefault="00BE09D5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BE09D5" w:rsidRDefault="00BE09D5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BE09D5" w:rsidRDefault="00BE09D5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BE09D5" w:rsidRDefault="00BE09D5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BE09D5" w:rsidRDefault="00BE09D5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  <w:r w:rsidRPr="00264DD3">
        <w:rPr>
          <w:rFonts w:eastAsia="Arial" w:cs="Times New Roman"/>
          <w:szCs w:val="28"/>
          <w:lang w:eastAsia="uk-UA"/>
        </w:rPr>
        <w:lastRenderedPageBreak/>
        <w:t>Види та обсяг навчальної роботи в академічних годинах</w:t>
      </w: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  <w:r w:rsidRPr="00264DD3">
        <w:rPr>
          <w:rFonts w:eastAsia="Arial" w:cs="Times New Roman"/>
          <w:szCs w:val="28"/>
          <w:lang w:eastAsia="uk-UA"/>
        </w:rPr>
        <w:t>Денна форма навчання</w:t>
      </w:r>
    </w:p>
    <w:tbl>
      <w:tblPr>
        <w:tblW w:w="9168" w:type="dxa"/>
        <w:jc w:val="center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7"/>
        <w:gridCol w:w="1189"/>
        <w:gridCol w:w="1276"/>
        <w:gridCol w:w="1276"/>
      </w:tblGrid>
      <w:tr w:rsidR="00BE09D5" w:rsidRPr="00280856" w:rsidTr="009E69A3">
        <w:trPr>
          <w:trHeight w:val="293"/>
          <w:jc w:val="center"/>
        </w:trPr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Розподіл навчальних годин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BE09D5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Семестр </w:t>
            </w:r>
            <w:r>
              <w:rPr>
                <w:rFonts w:eastAsia="Arial" w:cs="Times New Roman"/>
                <w:szCs w:val="28"/>
                <w:lang w:eastAsia="uk-UA"/>
              </w:rPr>
              <w:t>1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D5" w:rsidRPr="00280856" w:rsidRDefault="00BE09D5" w:rsidP="00BE09D5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Семестр </w:t>
            </w:r>
            <w:r>
              <w:rPr>
                <w:rFonts w:eastAsia="Arial" w:cs="Times New Roman"/>
                <w:szCs w:val="28"/>
                <w:lang w:eastAsia="uk-UA"/>
              </w:rPr>
              <w:t>1</w:t>
            </w:r>
          </w:p>
        </w:tc>
      </w:tr>
      <w:tr w:rsidR="00BE09D5" w:rsidRPr="00280856" w:rsidTr="009E69A3">
        <w:trPr>
          <w:trHeight w:val="269"/>
          <w:jc w:val="center"/>
        </w:trPr>
        <w:tc>
          <w:tcPr>
            <w:tcW w:w="5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BE09D5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13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чверть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D5" w:rsidRPr="00280856" w:rsidRDefault="00BE09D5" w:rsidP="00BE09D5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14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чверть</w:t>
            </w:r>
          </w:p>
        </w:tc>
      </w:tr>
      <w:tr w:rsidR="00BE09D5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 годин за навчальним планом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BE09D5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90</w:t>
            </w:r>
          </w:p>
        </w:tc>
      </w:tr>
      <w:tr w:rsidR="00BE09D5" w:rsidRPr="00280856" w:rsidTr="009E69A3">
        <w:trPr>
          <w:trHeight w:val="518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bCs/>
                <w:szCs w:val="28"/>
                <w:lang w:eastAsia="uk-UA"/>
              </w:rPr>
            </w:pPr>
            <w:r w:rsidRPr="00280856">
              <w:rPr>
                <w:rFonts w:eastAsia="Arial" w:cs="Times New Roman"/>
                <w:bCs/>
                <w:szCs w:val="28"/>
                <w:lang w:eastAsia="uk-UA"/>
              </w:rPr>
              <w:t xml:space="preserve">у тому числі: </w:t>
            </w:r>
          </w:p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аудиторні заняття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44</w:t>
            </w:r>
          </w:p>
        </w:tc>
      </w:tr>
      <w:tr w:rsidR="00BE09D5" w:rsidRPr="00280856" w:rsidTr="009E69A3">
        <w:trPr>
          <w:trHeight w:val="52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з них: </w:t>
            </w:r>
          </w:p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лекції;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28</w:t>
            </w:r>
          </w:p>
        </w:tc>
      </w:tr>
      <w:tr w:rsidR="00BE09D5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лабораторні роботи;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BE09D5" w:rsidRPr="00280856" w:rsidTr="009E69A3">
        <w:trPr>
          <w:trHeight w:val="264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практичні заняття;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16</w:t>
            </w:r>
          </w:p>
        </w:tc>
      </w:tr>
      <w:tr w:rsidR="00BE09D5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семінарські заняття.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</w:tr>
      <w:tr w:rsidR="00BE09D5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Самостійна робота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BE09D5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46</w:t>
            </w:r>
          </w:p>
        </w:tc>
      </w:tr>
      <w:tr w:rsidR="00BE09D5" w:rsidRPr="00280856" w:rsidTr="009E69A3">
        <w:trPr>
          <w:trHeight w:val="52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 тому числі при:</w:t>
            </w:r>
          </w:p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підготовці до аудиторних занять;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22</w:t>
            </w:r>
          </w:p>
        </w:tc>
      </w:tr>
      <w:tr w:rsidR="00BE09D5" w:rsidRPr="00280856" w:rsidTr="009E69A3">
        <w:trPr>
          <w:trHeight w:val="264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курсових проектів (робіт);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BE09D5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індивідуальних завдань;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BE09D5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складання екзаменів;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BE09D5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9</w:t>
            </w:r>
          </w:p>
        </w:tc>
      </w:tr>
      <w:tr w:rsidR="00BE09D5" w:rsidRPr="00280856" w:rsidTr="009E69A3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інших контрольних заходів;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BE09D5" w:rsidRPr="00280856" w:rsidTr="009E69A3">
        <w:trPr>
          <w:trHeight w:val="52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опрацювання розділів програми, які не викладаються на лекціях.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15</w:t>
            </w:r>
          </w:p>
        </w:tc>
      </w:tr>
      <w:tr w:rsidR="00BE09D5" w:rsidRPr="00280856" w:rsidTr="009E69A3">
        <w:trPr>
          <w:trHeight w:val="29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Семестровий контроль.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D5" w:rsidRPr="00280856" w:rsidRDefault="00BE09D5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</w:tr>
    </w:tbl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0D2080" w:rsidRDefault="000D2080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0D2080" w:rsidRDefault="000D2080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0D2080" w:rsidRDefault="000D2080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  <w:r w:rsidRPr="00264DD3">
        <w:rPr>
          <w:rFonts w:eastAsia="Arial" w:cs="Times New Roman"/>
          <w:szCs w:val="28"/>
          <w:lang w:eastAsia="uk-UA"/>
        </w:rPr>
        <w:lastRenderedPageBreak/>
        <w:t>Заочна форма навчання</w:t>
      </w:r>
    </w:p>
    <w:tbl>
      <w:tblPr>
        <w:tblW w:w="9001" w:type="dxa"/>
        <w:jc w:val="center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0"/>
        <w:gridCol w:w="1356"/>
        <w:gridCol w:w="1455"/>
      </w:tblGrid>
      <w:tr w:rsidR="000D2080" w:rsidRPr="00280856" w:rsidTr="000D2080">
        <w:trPr>
          <w:trHeight w:val="298"/>
          <w:jc w:val="center"/>
        </w:trPr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Розподіл навчальних годин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Семестр </w:t>
            </w:r>
            <w:r>
              <w:rPr>
                <w:rFonts w:eastAsia="Arial" w:cs="Times New Roman"/>
                <w:szCs w:val="28"/>
                <w:lang w:eastAsia="uk-UA"/>
              </w:rPr>
              <w:t>1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</w:t>
            </w:r>
          </w:p>
        </w:tc>
      </w:tr>
      <w:tr w:rsidR="000D2080" w:rsidRPr="00280856" w:rsidTr="000D2080">
        <w:trPr>
          <w:trHeight w:val="273"/>
          <w:jc w:val="center"/>
        </w:trPr>
        <w:tc>
          <w:tcPr>
            <w:tcW w:w="6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13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чверть</w:t>
            </w:r>
          </w:p>
        </w:tc>
      </w:tr>
      <w:tr w:rsidR="000D2080" w:rsidRPr="00280856" w:rsidTr="000D2080">
        <w:trPr>
          <w:trHeight w:val="273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 годин за навчальним планом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180</w:t>
            </w:r>
          </w:p>
        </w:tc>
      </w:tr>
      <w:tr w:rsidR="000D2080" w:rsidRPr="00280856" w:rsidTr="000D2080">
        <w:trPr>
          <w:trHeight w:val="526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bCs/>
                <w:szCs w:val="28"/>
                <w:lang w:eastAsia="uk-UA"/>
              </w:rPr>
            </w:pPr>
            <w:r w:rsidRPr="00280856">
              <w:rPr>
                <w:rFonts w:eastAsia="Arial" w:cs="Times New Roman"/>
                <w:bCs/>
                <w:szCs w:val="28"/>
                <w:lang w:eastAsia="uk-UA"/>
              </w:rPr>
              <w:t xml:space="preserve">у тому числі: </w:t>
            </w:r>
          </w:p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аудиторні заняття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24</w:t>
            </w:r>
          </w:p>
        </w:tc>
      </w:tr>
      <w:tr w:rsidR="000D2080" w:rsidRPr="00280856" w:rsidTr="000D2080">
        <w:trPr>
          <w:trHeight w:val="531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з них: </w:t>
            </w:r>
          </w:p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лекції;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16</w:t>
            </w:r>
          </w:p>
        </w:tc>
      </w:tr>
      <w:tr w:rsidR="000D2080" w:rsidRPr="00280856" w:rsidTr="000D2080">
        <w:trPr>
          <w:trHeight w:val="273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лабораторні роботи;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0D2080" w:rsidRPr="00280856" w:rsidTr="000D2080">
        <w:trPr>
          <w:trHeight w:val="268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практичні заняття;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8</w:t>
            </w:r>
          </w:p>
        </w:tc>
      </w:tr>
      <w:tr w:rsidR="000D2080" w:rsidRPr="00280856" w:rsidTr="000D2080">
        <w:trPr>
          <w:trHeight w:val="273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семінарські заняття.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0D2080" w:rsidRPr="00280856" w:rsidTr="000D2080">
        <w:trPr>
          <w:trHeight w:val="273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Самостійна робота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156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156</w:t>
            </w:r>
          </w:p>
        </w:tc>
      </w:tr>
      <w:tr w:rsidR="000D2080" w:rsidRPr="00280856" w:rsidTr="000D2080">
        <w:trPr>
          <w:trHeight w:val="531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 тому числі при:</w:t>
            </w:r>
          </w:p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підготовці до аудиторних занять;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12</w:t>
            </w:r>
          </w:p>
        </w:tc>
      </w:tr>
      <w:tr w:rsidR="000D2080" w:rsidRPr="00280856" w:rsidTr="000D2080">
        <w:trPr>
          <w:trHeight w:val="268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курсових проектів (робіт);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0D2080" w:rsidRPr="00280856" w:rsidTr="000D2080">
        <w:trPr>
          <w:trHeight w:val="273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індивідуальних завдань;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6</w:t>
            </w:r>
          </w:p>
        </w:tc>
      </w:tr>
      <w:tr w:rsidR="000D2080" w:rsidRPr="00280856" w:rsidTr="000D2080">
        <w:trPr>
          <w:trHeight w:val="273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складання екзаменів;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4A6661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15</w:t>
            </w:r>
          </w:p>
        </w:tc>
      </w:tr>
      <w:tr w:rsidR="000D2080" w:rsidRPr="00280856" w:rsidTr="000D2080">
        <w:trPr>
          <w:trHeight w:val="273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інших контрольних заходів;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0D2080" w:rsidRPr="00280856" w:rsidTr="000D2080">
        <w:trPr>
          <w:trHeight w:val="531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опрацювання розділів програми, які не викладаються на лекціях.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4A6661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4A6661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120</w:t>
            </w:r>
          </w:p>
        </w:tc>
      </w:tr>
      <w:tr w:rsidR="000D2080" w:rsidRPr="00280856" w:rsidTr="000D2080">
        <w:trPr>
          <w:trHeight w:val="298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Семестровий контроль.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080" w:rsidRPr="00280856" w:rsidRDefault="000D2080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</w:tr>
    </w:tbl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tbl>
      <w:tblPr>
        <w:tblW w:w="91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2"/>
        <w:gridCol w:w="6856"/>
      </w:tblGrid>
      <w:tr w:rsidR="00264DD3" w:rsidRPr="00264DD3" w:rsidTr="00BB0EA6">
        <w:trPr>
          <w:jc w:val="center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Контрольні заходи та критерії оцінювання</w:t>
            </w:r>
          </w:p>
        </w:tc>
        <w:tc>
          <w:tcPr>
            <w:tcW w:w="6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Оцінювання кожного розділу здійснюється за 12-бальною шкалою.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Оцінювання розділів 1, 2 і 3 здійснюється за результатами виконання контрольної роботи в тестовій формі.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Оцінювання розділів 4 і 5 здійснюється за результатами виконання письмової контрольної роботи.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Оцінки розділу 6 здійснюється за результатами захисту індивідуального завдання.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 xml:space="preserve">Семестрова оцінка першого семестру визначається як </w:t>
            </w:r>
            <w:r w:rsidRPr="00264DD3">
              <w:rPr>
                <w:rFonts w:eastAsia="Arial" w:cs="Times New Roman"/>
                <w:szCs w:val="28"/>
                <w:lang w:eastAsia="uk-UA"/>
              </w:rPr>
              <w:lastRenderedPageBreak/>
              <w:t>середнє арифметичне оцінок 1,2 і 3 розділів.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Семестрова оцінка другого семестру визначається як середнє арифметичне оцінок 4, 5  і 6 розділів.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Підсумкова оцінка дисципліни визначається як середнє арифметичне оцінок 6 розділів .</w:t>
            </w:r>
          </w:p>
        </w:tc>
      </w:tr>
      <w:tr w:rsidR="00264DD3" w:rsidRPr="00264DD3" w:rsidTr="00BB0EA6">
        <w:trPr>
          <w:jc w:val="center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lastRenderedPageBreak/>
              <w:t>Політика викладання</w:t>
            </w:r>
          </w:p>
        </w:tc>
        <w:tc>
          <w:tcPr>
            <w:tcW w:w="6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Здобувачі не допускаються до семестрового контролю за відсутності позитивної оцінки хоча б з одного розділу.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Порушення академічної доброчесності з боку здобувала освіти при виконанні завдань і контролю знань тягнуть відповідальність у вигляді проходження повторної процедури оцінювання.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Результати оцінювання розділів дисципліни та семестрового контролю здобувачів освіти здійснюється згідно “Положення про організацію освітнього процесу в УДУНТ”.</w:t>
            </w:r>
          </w:p>
        </w:tc>
      </w:tr>
      <w:tr w:rsidR="00264DD3" w:rsidRPr="00264DD3" w:rsidTr="00BB0EA6">
        <w:trPr>
          <w:jc w:val="center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Засоби навчання</w:t>
            </w:r>
          </w:p>
        </w:tc>
        <w:tc>
          <w:tcPr>
            <w:tcW w:w="6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Навчальний процес передбачає використання мультимедійного та комплексу та комп’ютерних місць.</w:t>
            </w:r>
          </w:p>
        </w:tc>
      </w:tr>
      <w:tr w:rsidR="00264DD3" w:rsidRPr="00264DD3" w:rsidTr="00BB0EA6">
        <w:trPr>
          <w:jc w:val="center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>Навчально-методичне забезпечення</w:t>
            </w:r>
          </w:p>
        </w:tc>
        <w:tc>
          <w:tcPr>
            <w:tcW w:w="6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b/>
                <w:szCs w:val="28"/>
                <w:lang w:eastAsia="uk-UA"/>
              </w:rPr>
            </w:pPr>
            <w:r w:rsidRPr="00264DD3">
              <w:rPr>
                <w:rFonts w:eastAsia="Arial" w:cs="Times New Roman"/>
                <w:b/>
                <w:szCs w:val="28"/>
                <w:lang w:eastAsia="uk-UA"/>
              </w:rPr>
              <w:t>Основна література: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 xml:space="preserve">1.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Канарчук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 В.Є. та ін. Основи  технічного обслуговування і ремонту автомобілів. УЗ кн.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Кн.2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. Організація, планування й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управління:Підручник/В.Є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.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Канарчук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, О.А.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Лудченко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, А.Д.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Чигринцев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. - К.: Вища шк.,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1994.-383с.:іл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>.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 xml:space="preserve"> В.З.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Докуніхін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, Н.Ф.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Кущевська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>, В.В. Малишев</w:t>
            </w:r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 xml:space="preserve">2. Технологічне проектування автотранспортних підприємств. Київ,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ПрофКнига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, 2021, 146с. </w:t>
            </w:r>
          </w:p>
          <w:p w:rsid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 xml:space="preserve">3.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Андрусенко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 С.І. та інші. Технологічне проектування автотранспортних підприємств. Навчальний посібник (за ред. проф. С.І.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Андрусенка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>) - Київ: Каравела, 2009, 368 с.</w:t>
            </w:r>
          </w:p>
          <w:p w:rsidR="00BB0EA6" w:rsidRPr="00264DD3" w:rsidRDefault="00BB0EA6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bookmarkStart w:id="0" w:name="_GoBack"/>
            <w:bookmarkEnd w:id="0"/>
          </w:p>
          <w:p w:rsidR="00264DD3" w:rsidRPr="00264DD3" w:rsidRDefault="00264DD3" w:rsidP="001F3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0"/>
              <w:rPr>
                <w:rFonts w:eastAsia="Arial" w:cs="Times New Roman"/>
                <w:b/>
                <w:szCs w:val="28"/>
                <w:lang w:eastAsia="uk-UA"/>
              </w:rPr>
            </w:pPr>
            <w:r w:rsidRPr="00264DD3">
              <w:rPr>
                <w:rFonts w:eastAsia="Arial" w:cs="Times New Roman"/>
                <w:b/>
                <w:szCs w:val="28"/>
                <w:lang w:eastAsia="uk-UA"/>
              </w:rPr>
              <w:lastRenderedPageBreak/>
              <w:t>Додаткова література</w:t>
            </w:r>
          </w:p>
          <w:p w:rsidR="00264DD3" w:rsidRPr="00264DD3" w:rsidRDefault="00264DD3" w:rsidP="00BB0E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43" w:firstLine="123"/>
              <w:contextualSpacing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 xml:space="preserve">Волков В.П.,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Мищенко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 В.М., Кравченко О.П. та інші. Технологічне обладнання для підприємств автомобільного транспорту. Підручник/Під загальною редакцією В.П. Волкова. Харків,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ХНАДУ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>, 2010 - 556 с.</w:t>
            </w:r>
          </w:p>
          <w:p w:rsidR="00264DD3" w:rsidRPr="00264DD3" w:rsidRDefault="00264DD3" w:rsidP="00BB0E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43" w:firstLine="123"/>
              <w:contextualSpacing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64DD3">
              <w:rPr>
                <w:rFonts w:eastAsia="Arial" w:cs="Times New Roman"/>
                <w:szCs w:val="28"/>
                <w:lang w:eastAsia="uk-UA"/>
              </w:rPr>
              <w:t xml:space="preserve"> Робоча програма, методичні вказівки та індивідуальне завдання до вивчення дисципліни “Двигуни колісних і гусеничних транспортних засобів” для студентів спеціальності 133 - “Галузеве машинобудування” (бакалаврський </w:t>
            </w:r>
            <w:proofErr w:type="spellStart"/>
            <w:r w:rsidRPr="00264DD3">
              <w:rPr>
                <w:rFonts w:eastAsia="Arial" w:cs="Times New Roman"/>
                <w:szCs w:val="28"/>
                <w:lang w:eastAsia="uk-UA"/>
              </w:rPr>
              <w:t>рівень)/Укл</w:t>
            </w:r>
            <w:proofErr w:type="spellEnd"/>
            <w:r w:rsidRPr="00264DD3">
              <w:rPr>
                <w:rFonts w:eastAsia="Arial" w:cs="Times New Roman"/>
                <w:szCs w:val="28"/>
                <w:lang w:eastAsia="uk-UA"/>
              </w:rPr>
              <w:t xml:space="preserve">.: В.С. Назарець, О.М. Лосіков, В.К. Сидоренко. - Дніпро: НМетАУ, 2019 - 50 с.  </w:t>
            </w:r>
          </w:p>
        </w:tc>
      </w:tr>
    </w:tbl>
    <w:p w:rsidR="00264DD3" w:rsidRPr="00264DD3" w:rsidRDefault="00264DD3" w:rsidP="001F3A4A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  <w:r w:rsidRPr="00264DD3">
        <w:rPr>
          <w:rFonts w:eastAsia="Arial" w:cs="Times New Roman"/>
          <w:szCs w:val="28"/>
          <w:lang w:eastAsia="uk-UA"/>
        </w:rPr>
        <w:t>Ухвалено на засіданні групи забезпечення якості освітньої програми «Галузеве машинобудування» (Протокол № 1 від 19.09.22).</w:t>
      </w:r>
    </w:p>
    <w:p w:rsidR="00264DD3" w:rsidRPr="00264DD3" w:rsidRDefault="00264DD3" w:rsidP="001F3A4A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264DD3" w:rsidRPr="00264DD3" w:rsidRDefault="00264DD3" w:rsidP="001F3A4A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  <w:r w:rsidRPr="00264DD3">
        <w:rPr>
          <w:rFonts w:eastAsia="Arial" w:cs="Times New Roman"/>
          <w:szCs w:val="28"/>
          <w:lang w:eastAsia="uk-UA"/>
        </w:rPr>
        <w:t>Гарант освітньої програми, к.т.н., доцент. _______________ Ігор Мазур</w:t>
      </w:r>
    </w:p>
    <w:p w:rsidR="00264DD3" w:rsidRPr="00264DD3" w:rsidRDefault="00264DD3" w:rsidP="001F3A4A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425AFC" w:rsidRDefault="00425AFC" w:rsidP="001F3A4A">
      <w:pPr>
        <w:spacing w:line="312" w:lineRule="auto"/>
      </w:pPr>
    </w:p>
    <w:sectPr w:rsidR="0042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4F7C"/>
    <w:multiLevelType w:val="hybridMultilevel"/>
    <w:tmpl w:val="536A6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D3"/>
    <w:rsid w:val="000D2080"/>
    <w:rsid w:val="001F3A4A"/>
    <w:rsid w:val="00264DD3"/>
    <w:rsid w:val="00364005"/>
    <w:rsid w:val="00425AFC"/>
    <w:rsid w:val="004A6661"/>
    <w:rsid w:val="0072690B"/>
    <w:rsid w:val="0088745B"/>
    <w:rsid w:val="009816ED"/>
    <w:rsid w:val="00BB0EA6"/>
    <w:rsid w:val="00BE09D5"/>
    <w:rsid w:val="00E92C5D"/>
    <w:rsid w:val="00F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5B9A"/>
    <w:pPr>
      <w:keepNext/>
      <w:jc w:val="left"/>
      <w:outlineLvl w:val="0"/>
    </w:pPr>
    <w:rPr>
      <w:rFonts w:asciiTheme="minorHAnsi" w:hAnsiTheme="minorHAnsi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5B9A"/>
    <w:rPr>
      <w:b/>
      <w:bCs/>
      <w:kern w:val="32"/>
      <w:sz w:val="28"/>
      <w:szCs w:val="32"/>
      <w:lang w:val="ru-RU"/>
    </w:rPr>
  </w:style>
  <w:style w:type="paragraph" w:styleId="11">
    <w:name w:val="toc 1"/>
    <w:basedOn w:val="a"/>
    <w:next w:val="a"/>
    <w:autoRedefine/>
    <w:uiPriority w:val="39"/>
    <w:qFormat/>
    <w:rsid w:val="009816ED"/>
    <w:pPr>
      <w:ind w:firstLine="0"/>
      <w:jc w:val="left"/>
    </w:pPr>
    <w:rPr>
      <w:rFonts w:eastAsia="Times New Roman" w:cs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5B9A"/>
    <w:pPr>
      <w:keepNext/>
      <w:jc w:val="left"/>
      <w:outlineLvl w:val="0"/>
    </w:pPr>
    <w:rPr>
      <w:rFonts w:asciiTheme="minorHAnsi" w:hAnsiTheme="minorHAnsi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5B9A"/>
    <w:rPr>
      <w:b/>
      <w:bCs/>
      <w:kern w:val="32"/>
      <w:sz w:val="28"/>
      <w:szCs w:val="32"/>
      <w:lang w:val="ru-RU"/>
    </w:rPr>
  </w:style>
  <w:style w:type="paragraph" w:styleId="11">
    <w:name w:val="toc 1"/>
    <w:basedOn w:val="a"/>
    <w:next w:val="a"/>
    <w:autoRedefine/>
    <w:uiPriority w:val="39"/>
    <w:qFormat/>
    <w:rsid w:val="009816ED"/>
    <w:pPr>
      <w:ind w:firstLine="0"/>
      <w:jc w:val="left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s.nazarets@ust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3857</Words>
  <Characters>2199</Characters>
  <Application>Microsoft Office Word</Application>
  <DocSecurity>0</DocSecurity>
  <Lines>18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Sacha</cp:lastModifiedBy>
  <cp:revision>6</cp:revision>
  <dcterms:created xsi:type="dcterms:W3CDTF">2023-01-23T07:54:00Z</dcterms:created>
  <dcterms:modified xsi:type="dcterms:W3CDTF">2023-01-23T15:41:00Z</dcterms:modified>
</cp:coreProperties>
</file>