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A86496" w:rsidRPr="00A86496">
              <w:rPr>
                <w:b/>
                <w:sz w:val="32"/>
                <w:szCs w:val="32"/>
              </w:rPr>
              <w:t>УПРАВЛІННЯ ЯКІСТЮ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F35D60" w:rsidP="00926E64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Обов’язкова навчальна дисципліна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7E0FCE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ОК25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правління якістю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926E64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926E64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926E64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926E64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926E64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B7DC3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B7DC3" w:rsidP="00762D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762DB2">
              <w:rPr>
                <w:sz w:val="24"/>
                <w:szCs w:val="24"/>
              </w:rPr>
              <w:t xml:space="preserve"> та 8 </w:t>
            </w:r>
            <w:r>
              <w:rPr>
                <w:sz w:val="24"/>
                <w:szCs w:val="24"/>
              </w:rPr>
              <w:t>семестр</w:t>
            </w:r>
            <w:r w:rsidR="00762DB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півсеместр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762D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та 1</w:t>
            </w:r>
            <w:r w:rsidR="00762DB2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926E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926E64">
              <w:rPr>
                <w:b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26E64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4E1DAD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Pr="004E1DAD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4E1DAD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4E1DAD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Pr="004E1DAD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4E1DAD"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4E1DAD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CA3254" w:rsidRPr="004E1D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04E2">
              <w:rPr>
                <w:sz w:val="24"/>
                <w:szCs w:val="24"/>
              </w:rPr>
              <w:t>Бондаренко Оксана Анатоліївна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4E1DAD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4E1DAD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F24B7B" w:rsidRPr="004E1DAD">
              <w:rPr>
                <w:color w:val="000000" w:themeColor="text1"/>
                <w:sz w:val="24"/>
                <w:szCs w:val="24"/>
              </w:rPr>
              <w:t>o</w:t>
            </w:r>
            <w:r w:rsidRPr="004E1DAD">
              <w:rPr>
                <w:color w:val="000000" w:themeColor="text1"/>
                <w:sz w:val="24"/>
                <w:szCs w:val="24"/>
              </w:rPr>
              <w:t>.</w:t>
            </w:r>
            <w:r w:rsidR="008A6A99">
              <w:rPr>
                <w:color w:val="000000" w:themeColor="text1"/>
                <w:sz w:val="24"/>
                <w:szCs w:val="24"/>
              </w:rPr>
              <w:t>a</w:t>
            </w:r>
            <w:r w:rsidRPr="004E1DAD">
              <w:rPr>
                <w:color w:val="000000" w:themeColor="text1"/>
                <w:sz w:val="24"/>
                <w:szCs w:val="24"/>
              </w:rPr>
              <w:t>.</w:t>
            </w:r>
            <w:r w:rsidR="008A6A99">
              <w:rPr>
                <w:color w:val="000000" w:themeColor="text1"/>
                <w:sz w:val="24"/>
                <w:szCs w:val="24"/>
              </w:rPr>
              <w:t>bondarenko</w:t>
            </w:r>
            <w:r w:rsidRPr="004E1DAD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4E1DAD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4E1DAD">
              <w:rPr>
                <w:color w:val="000000" w:themeColor="text1"/>
                <w:sz w:val="24"/>
                <w:szCs w:val="24"/>
              </w:rPr>
              <w:t>e-</w:t>
            </w:r>
            <w:r w:rsidRPr="004E1DAD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4E1DA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F757AC">
              <w:rPr>
                <w:sz w:val="24"/>
                <w:szCs w:val="24"/>
                <w:lang w:val="pt-BR"/>
              </w:rPr>
              <w:t>sana105oksana105</w:t>
            </w:r>
            <w:r w:rsidR="00F757AC">
              <w:rPr>
                <w:sz w:val="24"/>
                <w:szCs w:val="24"/>
              </w:rPr>
              <w:t>@</w:t>
            </w:r>
            <w:r w:rsidR="00F757AC">
              <w:rPr>
                <w:sz w:val="24"/>
                <w:szCs w:val="24"/>
                <w:lang w:val="pt-BR"/>
              </w:rPr>
              <w:t>gmail.com</w:t>
            </w:r>
            <w:r w:rsidR="00736246" w:rsidRPr="004E1DAD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192F79" w:rsidRPr="004E1DAD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3BAE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743BAE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743BAE" w:rsidRPr="00743BAE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</w:t>
            </w:r>
            <w:r w:rsidR="00192F79">
              <w:rPr>
                <w:color w:val="000000" w:themeColor="text1"/>
                <w:sz w:val="24"/>
                <w:szCs w:val="24"/>
              </w:rPr>
              <w:t>68</w:t>
            </w: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  <w:p w:rsidR="00192F79" w:rsidRPr="00F41DD6" w:rsidRDefault="00192F79" w:rsidP="0089730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12CC7" w:rsidRDefault="00C17270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</w:t>
            </w:r>
            <w:r w:rsidRPr="00D12CC7">
              <w:rPr>
                <w:lang w:val="uk-UA"/>
              </w:rPr>
              <w:lastRenderedPageBreak/>
              <w:t>загально-наукових та загально-технічних дисциплін Циклу професійної підготовки («Вища математика», «Алгоритмізація та програмування»), фахових дисциплін цього циклу («Технічний контроль якості», «Якість сучасних матеріалів», «Товарознавство, якість та експертиза продукції і послуг», «Стандартизація продукції та послуг» та ін.).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D12CC7" w:rsidRDefault="00926E64" w:rsidP="00926E64">
            <w:pPr>
              <w:jc w:val="both"/>
              <w:rPr>
                <w:bCs/>
                <w:color w:val="000000" w:themeColor="text1"/>
              </w:rPr>
            </w:pPr>
            <w:r w:rsidRPr="00926E64">
              <w:rPr>
                <w:bCs/>
                <w:sz w:val="24"/>
                <w:szCs w:val="24"/>
              </w:rPr>
              <w:t xml:space="preserve">Засвоєння знань щодо основних підходів до організації робіт з управління якістю продукції, процесів та систем у відповідності, здебільшого, до стандартів ДСТУ </w:t>
            </w:r>
            <w:r w:rsidRPr="00926E64">
              <w:rPr>
                <w:bCs/>
                <w:sz w:val="24"/>
                <w:szCs w:val="24"/>
                <w:lang w:val="en-US"/>
              </w:rPr>
              <w:t>ISO</w:t>
            </w:r>
            <w:r w:rsidRPr="00926E64">
              <w:rPr>
                <w:bCs/>
                <w:sz w:val="24"/>
                <w:szCs w:val="24"/>
              </w:rPr>
              <w:t xml:space="preserve"> серій 9000, спрямованих на побудову та ефективне використання системи управління якістю та її складових, а також придбання навичок з використання таких систем на підприємствах та в організаціях різних сфер діяльності.</w:t>
            </w:r>
          </w:p>
        </w:tc>
      </w:tr>
      <w:tr w:rsidR="00DE688E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DE688E" w:rsidRPr="00F41DD6" w:rsidRDefault="00DE688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F83B7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ОРН1. Поясняти та класифікувати </w:t>
            </w:r>
            <w:r w:rsidRPr="00D12CC7">
              <w:rPr>
                <w:bCs/>
                <w:lang w:val="uk-UA"/>
              </w:rPr>
              <w:t>основні поняття, принципи, методи та інструменти із забезпечення якості продукції, процесів і систем на різних етапах їх життєвого циклу.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063210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ОРН2. </w:t>
            </w:r>
            <w:r w:rsidRPr="00D12CC7">
              <w:rPr>
                <w:bCs/>
                <w:lang w:val="uk-UA"/>
              </w:rPr>
              <w:t>Застосовувати сучасні теоретичні знання і практичні навички, необхідні для розв’язання завдань із забезпечення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A6215F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D12CC7">
              <w:rPr>
                <w:lang w:val="uk-UA"/>
              </w:rPr>
              <w:t xml:space="preserve">ОРН3. </w:t>
            </w:r>
            <w:r w:rsidRPr="00D12CC7">
              <w:rPr>
                <w:bCs/>
                <w:lang w:val="uk-UA"/>
              </w:rPr>
              <w:t>Розробляти методичні та нормативні документи, що стосуються управління якістю з плануванням ефективності рішень для різних стадій життєвого циклу продукції.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933C1B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D12CC7">
              <w:rPr>
                <w:lang w:val="uk-UA"/>
              </w:rPr>
              <w:t xml:space="preserve">ОРН4. </w:t>
            </w:r>
            <w:r w:rsidRPr="00D12CC7">
              <w:rPr>
                <w:bCs/>
                <w:lang w:val="uk-UA"/>
              </w:rPr>
              <w:t>Виявляти сутність проблем при розробці та дослідженні ефективності функціонування системи якості в організації.</w:t>
            </w:r>
          </w:p>
        </w:tc>
      </w:tr>
      <w:tr w:rsidR="00DE688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DE688E" w:rsidRPr="00F41DD6" w:rsidRDefault="00DE688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DE688E" w:rsidRPr="00D12CC7" w:rsidRDefault="00D12CC7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D12CC7">
              <w:rPr>
                <w:lang w:val="uk-UA"/>
              </w:rPr>
              <w:t xml:space="preserve">ОРН5. </w:t>
            </w:r>
            <w:r w:rsidRPr="00D12CC7">
              <w:rPr>
                <w:bCs/>
                <w:lang w:val="uk-UA"/>
              </w:rPr>
              <w:t xml:space="preserve">Перевіряти систему якості у цілому та окремі її елементи на відповідність вимогам нормативних документів та </w:t>
            </w:r>
            <w:proofErr w:type="spellStart"/>
            <w:r w:rsidRPr="00D12CC7">
              <w:rPr>
                <w:bCs/>
                <w:lang w:val="uk-UA"/>
              </w:rPr>
              <w:t>стейкхолдерів</w:t>
            </w:r>
            <w:proofErr w:type="spellEnd"/>
            <w:r w:rsidRPr="00D12CC7">
              <w:rPr>
                <w:bCs/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80310A" w:rsidRDefault="0080310A">
            <w:pPr>
              <w:overflowPunct w:val="0"/>
              <w:textAlignment w:val="baseline"/>
              <w:divId w:val="1708871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Принципи та методологія управління якістю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2. Основи теорії якості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3. Системи управління  якістю</w:t>
            </w:r>
          </w:p>
          <w:p w:rsidR="0080310A" w:rsidRDefault="0080310A">
            <w:pPr>
              <w:pStyle w:val="Default"/>
              <w:divId w:val="170887146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4. Стандарти систем якості</w:t>
            </w:r>
          </w:p>
          <w:p w:rsidR="00736246" w:rsidRPr="00D12CC7" w:rsidRDefault="0080310A" w:rsidP="00C7639D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5. </w:t>
            </w:r>
            <w:proofErr w:type="spellStart"/>
            <w:r>
              <w:rPr>
                <w:bCs/>
              </w:rPr>
              <w:t>Функціонування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систем </w:t>
            </w:r>
            <w:proofErr w:type="spellStart"/>
            <w:r>
              <w:rPr>
                <w:bCs/>
              </w:rPr>
              <w:t>управління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якістю</w:t>
            </w:r>
            <w:proofErr w:type="spellEnd"/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706B3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4622E" w:rsidRPr="0054622E" w:rsidRDefault="0054622E" w:rsidP="0054622E">
            <w:pPr>
              <w:pStyle w:val="Default"/>
              <w:jc w:val="both"/>
              <w:divId w:val="395591482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</w:t>
            </w:r>
            <w:r w:rsidRPr="0054622E">
              <w:rPr>
                <w:iCs/>
                <w:color w:val="auto"/>
                <w:lang w:val="uk-UA"/>
              </w:rPr>
              <w:t xml:space="preserve">Формами контролю з дисципліни є диференційований залік та екзамен. 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</w:t>
            </w:r>
            <w:r w:rsidR="0054622E">
              <w:rPr>
                <w:rFonts w:ascii="Times New Roman" w:hAnsi="Times New Roman"/>
                <w:sz w:val="24"/>
                <w:szCs w:val="24"/>
                <w:lang w:val="uk-UA"/>
              </w:rPr>
              <w:t>прийнятою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шкалою. 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розділів 4 та 5 здійснюється за результатами </w:t>
            </w:r>
            <w:r w:rsidR="0054622E">
              <w:rPr>
                <w:rFonts w:ascii="Times New Roman" w:hAnsi="Times New Roman"/>
                <w:sz w:val="24"/>
                <w:szCs w:val="24"/>
                <w:lang w:val="uk-UA"/>
              </w:rPr>
              <w:t>екзамену у вигляді письмової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контрольної роботи РК2.</w:t>
            </w:r>
          </w:p>
          <w:p w:rsidR="00E10C78" w:rsidRP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4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5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E10C78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E10C78" w:rsidRDefault="00E10C78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Семестрова оцінка 1</w:t>
            </w:r>
            <w:r w:rsidR="0054622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-го </w:t>
            </w:r>
            <w:proofErr w:type="spellStart"/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півсеместру</w:t>
            </w:r>
            <w:proofErr w:type="spellEnd"/>
            <w:r w:rsidRPr="00E10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визначається як середнє арифметичне оцінок 1, 2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 розділів з округленням до цілого числа. </w:t>
            </w:r>
          </w:p>
          <w:p w:rsidR="00E10C78" w:rsidRDefault="0054622E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39559148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E10C78">
              <w:rPr>
                <w:rFonts w:ascii="Times New Roman" w:hAnsi="Times New Roman"/>
                <w:sz w:val="24"/>
                <w:szCs w:val="24"/>
                <w:lang w:val="uk-UA"/>
              </w:rPr>
              <w:t>цінка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E10C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-го </w:t>
            </w:r>
            <w:proofErr w:type="spellStart"/>
            <w:r w:rsidR="00E10C78"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 w:rsidR="00E10C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результатами екзамену</w:t>
            </w:r>
            <w:r w:rsidR="00E10C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736246" w:rsidRPr="006462BC" w:rsidRDefault="00E10C78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lastRenderedPageBreak/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5-ти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54622E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B213A" w:rsidRPr="00134782" w:rsidRDefault="00134782" w:rsidP="00134782">
            <w:pPr>
              <w:pStyle w:val="Default"/>
              <w:ind w:firstLine="193"/>
              <w:jc w:val="center"/>
              <w:divId w:val="16666807"/>
              <w:rPr>
                <w:b/>
                <w:i/>
                <w:color w:val="auto"/>
                <w:lang w:val="uk-UA"/>
              </w:rPr>
            </w:pPr>
            <w:r>
              <w:rPr>
                <w:b/>
                <w:i/>
                <w:color w:val="auto"/>
                <w:lang w:val="uk-UA"/>
              </w:rPr>
              <w:t>Основна література</w:t>
            </w:r>
          </w:p>
          <w:p w:rsidR="001B213A" w:rsidRDefault="001B213A" w:rsidP="001B213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Дніпропетровськ :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А.Г.», 2017. 563 с.</w:t>
            </w:r>
          </w:p>
          <w:p w:rsidR="001B213A" w:rsidRDefault="001B213A" w:rsidP="001B213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ДСТУ ISO серій 9000, 14000, 22000, 26000, 27000, 31000, 45000, ISO 50001 (актуалізовані версії). </w:t>
            </w:r>
          </w:p>
          <w:p w:rsidR="001B213A" w:rsidRDefault="001B213A" w:rsidP="001B213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ДСТУ ISO 19011. Настанови щодо здійснення аудитів систем менеджменту якості. Київ : Держстандарт України (актуалізована версія).</w:t>
            </w:r>
          </w:p>
          <w:p w:rsidR="001B213A" w:rsidRDefault="001B213A" w:rsidP="00134782">
            <w:pPr>
              <w:pStyle w:val="Default"/>
              <w:spacing w:before="120"/>
              <w:ind w:firstLine="193"/>
              <w:jc w:val="center"/>
              <w:divId w:val="16666807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763"/>
                <w:tab w:val="left" w:pos="905"/>
              </w:tabs>
              <w:ind w:left="55" w:firstLine="654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 книга. Про політику адаптації національного законодавства у сфері технічного регулювання та споживчої політики до європейських вимог. Київ : Держспоживстандарт України, 2006. 80 с.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1B213A" w:rsidRDefault="001B213A" w:rsidP="001B213A">
            <w:pPr>
              <w:widowControl/>
              <w:numPr>
                <w:ilvl w:val="0"/>
                <w:numId w:val="7"/>
              </w:numPr>
              <w:tabs>
                <w:tab w:val="num" w:pos="360"/>
                <w:tab w:val="left" w:pos="993"/>
                <w:tab w:val="left" w:pos="1134"/>
              </w:tabs>
              <w:ind w:left="0" w:firstLine="709"/>
              <w:jc w:val="both"/>
              <w:divId w:val="16666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736246" w:rsidRDefault="001B213A" w:rsidP="0044442E">
            <w:pPr>
              <w:pStyle w:val="Default"/>
              <w:numPr>
                <w:ilvl w:val="0"/>
                <w:numId w:val="7"/>
              </w:numPr>
              <w:tabs>
                <w:tab w:val="num" w:pos="360"/>
              </w:tabs>
              <w:spacing w:before="120"/>
              <w:ind w:left="55" w:firstLine="654"/>
              <w:jc w:val="both"/>
              <w:divId w:val="16666807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color w:val="auto"/>
                <w:lang w:val="uk-UA"/>
              </w:rPr>
              <w:t>Радкевич</w:t>
            </w:r>
            <w:proofErr w:type="spellEnd"/>
            <w:r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134782" w:rsidRPr="00134782" w:rsidRDefault="00134782" w:rsidP="00134782">
            <w:pPr>
              <w:spacing w:after="120"/>
              <w:ind w:firstLine="709"/>
              <w:jc w:val="center"/>
              <w:divId w:val="16666807"/>
              <w:rPr>
                <w:b/>
                <w:i/>
                <w:sz w:val="24"/>
                <w:szCs w:val="24"/>
              </w:rPr>
            </w:pPr>
            <w:r w:rsidRPr="00134782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51"/>
              <w:gridCol w:w="3937"/>
            </w:tblGrid>
            <w:tr w:rsidR="00134782" w:rsidRPr="00134782" w:rsidTr="00134782">
              <w:trPr>
                <w:divId w:val="16666807"/>
                <w:trHeight w:val="563"/>
              </w:trPr>
              <w:tc>
                <w:tcPr>
                  <w:tcW w:w="3203" w:type="dxa"/>
                </w:tcPr>
                <w:p w:rsidR="00134782" w:rsidRPr="00134782" w:rsidRDefault="00134782" w:rsidP="00134782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proofErr w:type="spellEnd"/>
                  <w:r w:rsidRPr="00134782"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proofErr w:type="spellEnd"/>
                  <w:r w:rsidRPr="00134782"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6368" w:type="dxa"/>
                </w:tcPr>
                <w:p w:rsidR="00134782" w:rsidRPr="00134782" w:rsidRDefault="00134782" w:rsidP="00134782">
                  <w:pPr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134782" w:rsidRPr="00134782" w:rsidTr="00134782">
              <w:trPr>
                <w:divId w:val="16666807"/>
                <w:trHeight w:val="622"/>
              </w:trPr>
              <w:tc>
                <w:tcPr>
                  <w:tcW w:w="3203" w:type="dxa"/>
                </w:tcPr>
                <w:p w:rsidR="00134782" w:rsidRPr="00134782" w:rsidRDefault="00134782" w:rsidP="00134782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6368" w:type="dxa"/>
                </w:tcPr>
                <w:p w:rsidR="00134782" w:rsidRPr="00134782" w:rsidRDefault="00134782" w:rsidP="00134782">
                  <w:pPr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 w:rsidRPr="00134782">
                    <w:rPr>
                      <w:bCs/>
                      <w:sz w:val="24"/>
                      <w:szCs w:val="24"/>
                    </w:rPr>
                    <w:t>УкрНДНЦ</w:t>
                  </w:r>
                  <w:proofErr w:type="spellEnd"/>
                  <w:r w:rsidRPr="00134782">
                    <w:rPr>
                      <w:bCs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134782" w:rsidRPr="00134782" w:rsidTr="00134782">
              <w:trPr>
                <w:divId w:val="16666807"/>
                <w:trHeight w:val="822"/>
              </w:trPr>
              <w:tc>
                <w:tcPr>
                  <w:tcW w:w="3203" w:type="dxa"/>
                </w:tcPr>
                <w:p w:rsidR="00134782" w:rsidRPr="00134782" w:rsidRDefault="00134782" w:rsidP="00134782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 w:rsidRPr="00134782">
                    <w:rPr>
                      <w:bCs/>
                      <w:sz w:val="24"/>
                      <w:szCs w:val="24"/>
                    </w:rPr>
                    <w:t>o</w:t>
                  </w:r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 w:rsidRPr="00134782"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 w:rsidRPr="00134782"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6368" w:type="dxa"/>
                </w:tcPr>
                <w:p w:rsidR="00134782" w:rsidRPr="00134782" w:rsidRDefault="00134782" w:rsidP="00134782">
                  <w:pPr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 w:rsidRPr="00134782">
                    <w:rPr>
                      <w:bCs/>
                      <w:sz w:val="24"/>
                      <w:szCs w:val="24"/>
                    </w:rPr>
                    <w:t>Леонорм</w:t>
                  </w:r>
                  <w:proofErr w:type="spellEnd"/>
                  <w:r w:rsidRPr="00134782">
                    <w:rPr>
                      <w:bCs/>
                      <w:sz w:val="24"/>
                      <w:szCs w:val="24"/>
                    </w:rPr>
                    <w:t>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134782" w:rsidRPr="00134782" w:rsidTr="00134782">
              <w:trPr>
                <w:divId w:val="16666807"/>
                <w:trHeight w:val="326"/>
              </w:trPr>
              <w:tc>
                <w:tcPr>
                  <w:tcW w:w="3203" w:type="dxa"/>
                </w:tcPr>
                <w:p w:rsidR="00134782" w:rsidRPr="00134782" w:rsidRDefault="00134782" w:rsidP="00134782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proofErr w:type="spellEnd"/>
                  <w:r w:rsidRPr="00134782">
                    <w:rPr>
                      <w:bCs/>
                      <w:sz w:val="24"/>
                      <w:szCs w:val="24"/>
                    </w:rPr>
                    <w:t>.</w:t>
                  </w:r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6368" w:type="dxa"/>
                </w:tcPr>
                <w:p w:rsidR="00134782" w:rsidRPr="00134782" w:rsidRDefault="00134782" w:rsidP="00134782">
                  <w:pPr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134782" w:rsidRPr="00134782" w:rsidTr="00134782">
              <w:trPr>
                <w:divId w:val="16666807"/>
                <w:trHeight w:val="450"/>
              </w:trPr>
              <w:tc>
                <w:tcPr>
                  <w:tcW w:w="3203" w:type="dxa"/>
                </w:tcPr>
                <w:p w:rsidR="00134782" w:rsidRPr="00134782" w:rsidRDefault="00134782" w:rsidP="00134782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6368" w:type="dxa"/>
                </w:tcPr>
                <w:p w:rsidR="00134782" w:rsidRPr="00134782" w:rsidRDefault="00134782" w:rsidP="00134782">
                  <w:pPr>
                    <w:rPr>
                      <w:bCs/>
                      <w:sz w:val="24"/>
                      <w:szCs w:val="24"/>
                    </w:rPr>
                  </w:pPr>
                  <w:r w:rsidRPr="00134782"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134782" w:rsidRPr="0044442E" w:rsidRDefault="00134782" w:rsidP="00134782">
            <w:pPr>
              <w:pStyle w:val="Default"/>
              <w:spacing w:before="120"/>
              <w:ind w:left="709"/>
              <w:jc w:val="both"/>
              <w:divId w:val="16666807"/>
              <w:rPr>
                <w:color w:val="auto"/>
                <w:lang w:val="uk-UA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1A34"/>
    <w:rsid w:val="00035C54"/>
    <w:rsid w:val="00056355"/>
    <w:rsid w:val="000577EB"/>
    <w:rsid w:val="00063210"/>
    <w:rsid w:val="00067839"/>
    <w:rsid w:val="00072120"/>
    <w:rsid w:val="00084136"/>
    <w:rsid w:val="0009410A"/>
    <w:rsid w:val="000A1BC7"/>
    <w:rsid w:val="000B1695"/>
    <w:rsid w:val="001014D1"/>
    <w:rsid w:val="001147CE"/>
    <w:rsid w:val="00117624"/>
    <w:rsid w:val="00123EA6"/>
    <w:rsid w:val="00134782"/>
    <w:rsid w:val="00182184"/>
    <w:rsid w:val="00184500"/>
    <w:rsid w:val="0019225C"/>
    <w:rsid w:val="00192F79"/>
    <w:rsid w:val="001B213A"/>
    <w:rsid w:val="00264553"/>
    <w:rsid w:val="002A46D2"/>
    <w:rsid w:val="002C1917"/>
    <w:rsid w:val="002E75AC"/>
    <w:rsid w:val="002F5EEC"/>
    <w:rsid w:val="00306EA8"/>
    <w:rsid w:val="00315DC7"/>
    <w:rsid w:val="00331967"/>
    <w:rsid w:val="00332093"/>
    <w:rsid w:val="00381F98"/>
    <w:rsid w:val="003823D2"/>
    <w:rsid w:val="00384A62"/>
    <w:rsid w:val="00394C16"/>
    <w:rsid w:val="00413C90"/>
    <w:rsid w:val="00432614"/>
    <w:rsid w:val="00433DDE"/>
    <w:rsid w:val="0043766F"/>
    <w:rsid w:val="0044442E"/>
    <w:rsid w:val="0045154D"/>
    <w:rsid w:val="00457F53"/>
    <w:rsid w:val="004603E4"/>
    <w:rsid w:val="004645E9"/>
    <w:rsid w:val="00485513"/>
    <w:rsid w:val="00494A66"/>
    <w:rsid w:val="004A219F"/>
    <w:rsid w:val="004C3264"/>
    <w:rsid w:val="004E0EBA"/>
    <w:rsid w:val="004E1DAD"/>
    <w:rsid w:val="00501AB5"/>
    <w:rsid w:val="0052400D"/>
    <w:rsid w:val="005263C0"/>
    <w:rsid w:val="0052724C"/>
    <w:rsid w:val="00531CCA"/>
    <w:rsid w:val="00541048"/>
    <w:rsid w:val="0054622E"/>
    <w:rsid w:val="00554031"/>
    <w:rsid w:val="00566AB5"/>
    <w:rsid w:val="00571818"/>
    <w:rsid w:val="00591247"/>
    <w:rsid w:val="005D5B1D"/>
    <w:rsid w:val="005E13B2"/>
    <w:rsid w:val="005E1FC7"/>
    <w:rsid w:val="0062187A"/>
    <w:rsid w:val="006259AA"/>
    <w:rsid w:val="006462BC"/>
    <w:rsid w:val="00655FF7"/>
    <w:rsid w:val="00696BB5"/>
    <w:rsid w:val="006A234A"/>
    <w:rsid w:val="006A6DC4"/>
    <w:rsid w:val="006B5D73"/>
    <w:rsid w:val="006B6697"/>
    <w:rsid w:val="006C3520"/>
    <w:rsid w:val="006D7776"/>
    <w:rsid w:val="006F17FF"/>
    <w:rsid w:val="00736246"/>
    <w:rsid w:val="00743BAE"/>
    <w:rsid w:val="0076157E"/>
    <w:rsid w:val="00762DB2"/>
    <w:rsid w:val="007706B3"/>
    <w:rsid w:val="007745AC"/>
    <w:rsid w:val="00776CD1"/>
    <w:rsid w:val="007929FA"/>
    <w:rsid w:val="007A729C"/>
    <w:rsid w:val="007B23EE"/>
    <w:rsid w:val="007B7DC3"/>
    <w:rsid w:val="007E0FCE"/>
    <w:rsid w:val="00802034"/>
    <w:rsid w:val="0080310A"/>
    <w:rsid w:val="00816589"/>
    <w:rsid w:val="00844C56"/>
    <w:rsid w:val="00846A36"/>
    <w:rsid w:val="008638DB"/>
    <w:rsid w:val="00872563"/>
    <w:rsid w:val="00877B89"/>
    <w:rsid w:val="00885FC2"/>
    <w:rsid w:val="00897301"/>
    <w:rsid w:val="008A6A99"/>
    <w:rsid w:val="008A7EB5"/>
    <w:rsid w:val="008C71FC"/>
    <w:rsid w:val="008E5FE5"/>
    <w:rsid w:val="008F2B88"/>
    <w:rsid w:val="00926E64"/>
    <w:rsid w:val="00933C1B"/>
    <w:rsid w:val="00951A11"/>
    <w:rsid w:val="0095666A"/>
    <w:rsid w:val="009636CF"/>
    <w:rsid w:val="00965C51"/>
    <w:rsid w:val="009A4A70"/>
    <w:rsid w:val="009D5958"/>
    <w:rsid w:val="00A15D17"/>
    <w:rsid w:val="00A41636"/>
    <w:rsid w:val="00A43240"/>
    <w:rsid w:val="00A51150"/>
    <w:rsid w:val="00A547FE"/>
    <w:rsid w:val="00A54BBC"/>
    <w:rsid w:val="00A55E5D"/>
    <w:rsid w:val="00A6215F"/>
    <w:rsid w:val="00A86496"/>
    <w:rsid w:val="00AA55EC"/>
    <w:rsid w:val="00B07172"/>
    <w:rsid w:val="00B10D95"/>
    <w:rsid w:val="00B36895"/>
    <w:rsid w:val="00B41C97"/>
    <w:rsid w:val="00B4613F"/>
    <w:rsid w:val="00B52A7F"/>
    <w:rsid w:val="00BB0604"/>
    <w:rsid w:val="00BC2B0F"/>
    <w:rsid w:val="00BC3ECD"/>
    <w:rsid w:val="00C17270"/>
    <w:rsid w:val="00C232CA"/>
    <w:rsid w:val="00C25F54"/>
    <w:rsid w:val="00C26BDA"/>
    <w:rsid w:val="00C303D2"/>
    <w:rsid w:val="00C404E2"/>
    <w:rsid w:val="00C43818"/>
    <w:rsid w:val="00C7470E"/>
    <w:rsid w:val="00C7639D"/>
    <w:rsid w:val="00C856F1"/>
    <w:rsid w:val="00C9313D"/>
    <w:rsid w:val="00CA3254"/>
    <w:rsid w:val="00CD23CE"/>
    <w:rsid w:val="00CE0DC5"/>
    <w:rsid w:val="00CE5BCC"/>
    <w:rsid w:val="00D12CC7"/>
    <w:rsid w:val="00D1472E"/>
    <w:rsid w:val="00D22961"/>
    <w:rsid w:val="00D32B3F"/>
    <w:rsid w:val="00D370D6"/>
    <w:rsid w:val="00D726B2"/>
    <w:rsid w:val="00D93D63"/>
    <w:rsid w:val="00DD67D5"/>
    <w:rsid w:val="00DE688E"/>
    <w:rsid w:val="00E10C78"/>
    <w:rsid w:val="00E353DE"/>
    <w:rsid w:val="00E37614"/>
    <w:rsid w:val="00E43830"/>
    <w:rsid w:val="00E85818"/>
    <w:rsid w:val="00E867B5"/>
    <w:rsid w:val="00ED3F3A"/>
    <w:rsid w:val="00EF5949"/>
    <w:rsid w:val="00F24B7B"/>
    <w:rsid w:val="00F24D3F"/>
    <w:rsid w:val="00F35D60"/>
    <w:rsid w:val="00F41DD6"/>
    <w:rsid w:val="00F757AC"/>
    <w:rsid w:val="00F83B7B"/>
    <w:rsid w:val="00FA46EF"/>
    <w:rsid w:val="00FC05FE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olzhanski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7598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120</cp:revision>
  <dcterms:created xsi:type="dcterms:W3CDTF">2023-01-07T22:35:00Z</dcterms:created>
  <dcterms:modified xsi:type="dcterms:W3CDTF">2023-04-14T08:39:00Z</dcterms:modified>
</cp:coreProperties>
</file>