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:rsidTr="002076C2">
        <w:trPr>
          <w:trHeight w:val="412"/>
        </w:trPr>
        <w:tc>
          <w:tcPr>
            <w:tcW w:w="9351" w:type="dxa"/>
            <w:gridSpan w:val="2"/>
          </w:tcPr>
          <w:p w:rsidR="00D7334F" w:rsidRPr="009C2782" w:rsidRDefault="00D7334F" w:rsidP="007C6216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D7334F" w:rsidTr="002076C2">
        <w:trPr>
          <w:trHeight w:val="1690"/>
        </w:trPr>
        <w:tc>
          <w:tcPr>
            <w:tcW w:w="2146" w:type="dxa"/>
          </w:tcPr>
          <w:p w:rsidR="00D7334F" w:rsidRDefault="00D7334F" w:rsidP="007C6216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</w:rPr>
            </w:pPr>
          </w:p>
          <w:p w:rsidR="00D7334F" w:rsidRDefault="00D7334F" w:rsidP="007C6216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7C6216">
              <w:rPr>
                <w:b/>
                <w:bCs/>
                <w:color w:val="244061"/>
                <w:sz w:val="24"/>
                <w:szCs w:val="24"/>
              </w:rPr>
              <w:t>СИЛАБУС</w:t>
            </w:r>
          </w:p>
          <w:p w:rsidR="007C6216" w:rsidRPr="007C6216" w:rsidRDefault="007C6216" w:rsidP="007C6216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:rsidR="00D7334F" w:rsidRDefault="00BA66BF" w:rsidP="007C62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АКТУАЛЬНІ ПРОБЛЕМИ ПРОФЕСІЙНОЇ ОСВІТИ</w:t>
            </w:r>
          </w:p>
        </w:tc>
      </w:tr>
    </w:tbl>
    <w:p w:rsidR="00D7334F" w:rsidRDefault="00D7334F" w:rsidP="007C6216">
      <w:pPr>
        <w:jc w:val="both"/>
      </w:pPr>
    </w:p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087"/>
      </w:tblGrid>
      <w:tr w:rsidR="00D7334F" w:rsidTr="007C6216">
        <w:tc>
          <w:tcPr>
            <w:tcW w:w="2127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7087" w:type="dxa"/>
          </w:tcPr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Обов’язкова навчальна дисципліна циклу професійної підготовки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7087" w:type="dxa"/>
          </w:tcPr>
          <w:p w:rsidR="00BA66BF" w:rsidRPr="00363444" w:rsidRDefault="00BA66BF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2.04 (11)</w:t>
            </w:r>
          </w:p>
          <w:p w:rsidR="007C6216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015 – професійна освіта (за спеціалізаціями)</w:t>
            </w:r>
          </w:p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 xml:space="preserve"> спеціалізація 015.12 – професійна освіта (металургія), галузь знань 01 «Педагогічні науки»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7087" w:type="dxa"/>
          </w:tcPr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Професійна освіта (металургія)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7087" w:type="dxa"/>
          </w:tcPr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другий (магістерський) рівень вищої освіти</w:t>
            </w:r>
          </w:p>
        </w:tc>
      </w:tr>
      <w:tr w:rsidR="00D7334F" w:rsidTr="007C6216">
        <w:trPr>
          <w:trHeight w:val="571"/>
        </w:trPr>
        <w:tc>
          <w:tcPr>
            <w:tcW w:w="2127" w:type="dxa"/>
          </w:tcPr>
          <w:p w:rsidR="00D7334F" w:rsidRDefault="00D7334F" w:rsidP="007C6216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:rsidR="00D7334F" w:rsidRDefault="00D7334F" w:rsidP="007C6216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7087" w:type="dxa"/>
          </w:tcPr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3 кредити ЄКТС (90 академічних годин), кількість модулів: 3 Загальна кількість годин на вивчення дисципліни: 40, з них: лекційних: 24, практичних: 16, самостійна робота студента: 50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7087" w:type="dxa"/>
          </w:tcPr>
          <w:p w:rsidR="00D7334F" w:rsidRPr="00363444" w:rsidRDefault="007C6216" w:rsidP="007C6216">
            <w:pPr>
              <w:jc w:val="both"/>
              <w:rPr>
                <w:sz w:val="24"/>
                <w:szCs w:val="24"/>
              </w:rPr>
            </w:pPr>
            <w:r w:rsidRPr="00363444">
              <w:rPr>
                <w:sz w:val="24"/>
                <w:szCs w:val="24"/>
              </w:rPr>
              <w:t>1  семестр (І чверть)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:rsidR="00D7334F" w:rsidRDefault="00D7334F" w:rsidP="007C6216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7087" w:type="dxa"/>
          </w:tcPr>
          <w:p w:rsidR="00D7334F" w:rsidRPr="00BA66BF" w:rsidRDefault="007C6216" w:rsidP="007C6216">
            <w:pPr>
              <w:jc w:val="both"/>
              <w:rPr>
                <w:sz w:val="28"/>
                <w:szCs w:val="28"/>
              </w:rPr>
            </w:pPr>
            <w:r w:rsidRPr="00BA66BF">
              <w:rPr>
                <w:sz w:val="28"/>
                <w:szCs w:val="28"/>
              </w:rPr>
              <w:t>Кафедра інженерної педагогіки</w:t>
            </w:r>
          </w:p>
        </w:tc>
      </w:tr>
      <w:tr w:rsidR="00D7334F" w:rsidTr="007C6216">
        <w:tc>
          <w:tcPr>
            <w:tcW w:w="2127" w:type="dxa"/>
          </w:tcPr>
          <w:p w:rsidR="00D7334F" w:rsidRDefault="00D7334F" w:rsidP="007C6216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7087" w:type="dxa"/>
          </w:tcPr>
          <w:p w:rsidR="00D7334F" w:rsidRPr="00BA66BF" w:rsidRDefault="007C6216" w:rsidP="007C6216">
            <w:pPr>
              <w:jc w:val="both"/>
              <w:rPr>
                <w:sz w:val="28"/>
                <w:szCs w:val="28"/>
              </w:rPr>
            </w:pPr>
            <w:r w:rsidRPr="00BA66BF">
              <w:rPr>
                <w:sz w:val="28"/>
                <w:szCs w:val="28"/>
              </w:rPr>
              <w:t>українська</w:t>
            </w:r>
          </w:p>
        </w:tc>
      </w:tr>
    </w:tbl>
    <w:p w:rsidR="00D7334F" w:rsidRDefault="00D7334F" w:rsidP="007C6216">
      <w:pPr>
        <w:jc w:val="both"/>
        <w:rPr>
          <w:b/>
          <w:bCs/>
          <w:sz w:val="24"/>
          <w:szCs w:val="24"/>
        </w:rPr>
      </w:pPr>
    </w:p>
    <w:p w:rsidR="00D7334F" w:rsidRDefault="00D7334F" w:rsidP="007C6216">
      <w:pPr>
        <w:jc w:val="both"/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7394"/>
      </w:tblGrid>
      <w:tr w:rsidR="00F71FB6" w:rsidTr="002076C2">
        <w:trPr>
          <w:trHeight w:val="515"/>
        </w:trPr>
        <w:tc>
          <w:tcPr>
            <w:tcW w:w="3402" w:type="dxa"/>
            <w:vMerge w:val="restart"/>
            <w:vAlign w:val="center"/>
          </w:tcPr>
          <w:p w:rsidR="00D7334F" w:rsidRDefault="00F71FB6" w:rsidP="007C62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476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09" cy="15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334F">
              <w:rPr>
                <w:b/>
                <w:bCs/>
                <w:sz w:val="24"/>
                <w:szCs w:val="24"/>
              </w:rPr>
              <w:t>Фото</w:t>
            </w:r>
          </w:p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C6216" w:rsidRPr="007C6216" w:rsidRDefault="007C6216" w:rsidP="007C6216">
            <w:pPr>
              <w:jc w:val="both"/>
              <w:rPr>
                <w:b/>
                <w:sz w:val="28"/>
                <w:szCs w:val="28"/>
              </w:rPr>
            </w:pPr>
            <w:r w:rsidRPr="007C6216">
              <w:rPr>
                <w:sz w:val="28"/>
                <w:szCs w:val="28"/>
              </w:rPr>
              <w:t xml:space="preserve">Проф., д-р. пед. наук </w:t>
            </w:r>
            <w:proofErr w:type="spellStart"/>
            <w:r w:rsidRPr="007C6216">
              <w:rPr>
                <w:b/>
                <w:sz w:val="28"/>
                <w:szCs w:val="28"/>
              </w:rPr>
              <w:t>Лучанінова</w:t>
            </w:r>
            <w:proofErr w:type="spellEnd"/>
            <w:r w:rsidRPr="007C6216">
              <w:rPr>
                <w:b/>
                <w:sz w:val="28"/>
                <w:szCs w:val="28"/>
              </w:rPr>
              <w:t xml:space="preserve"> Ольга Петрівна</w:t>
            </w:r>
          </w:p>
          <w:p w:rsidR="007C6216" w:rsidRPr="00F71FB6" w:rsidRDefault="007C6216" w:rsidP="007C6216">
            <w:pPr>
              <w:pStyle w:val="Default"/>
              <w:jc w:val="both"/>
            </w:pPr>
            <w:proofErr w:type="spellStart"/>
            <w:r w:rsidRPr="00F71FB6">
              <w:t>Посилання</w:t>
            </w:r>
            <w:proofErr w:type="spellEnd"/>
            <w:r w:rsidRPr="00F71FB6">
              <w:t xml:space="preserve"> на профайл </w:t>
            </w:r>
            <w:proofErr w:type="spellStart"/>
            <w:r w:rsidRPr="00F71FB6">
              <w:t>викладача</w:t>
            </w:r>
            <w:proofErr w:type="spellEnd"/>
            <w:r w:rsidRPr="00F71FB6">
              <w:t xml:space="preserve"> </w:t>
            </w:r>
          </w:p>
          <w:p w:rsidR="007C6216" w:rsidRPr="00D82FBE" w:rsidRDefault="005F20AE" w:rsidP="007C6216">
            <w:pPr>
              <w:pStyle w:val="Default"/>
              <w:jc w:val="both"/>
              <w:rPr>
                <w:rFonts w:ascii="Arial" w:hAnsi="Arial" w:cs="Arial"/>
              </w:rPr>
            </w:pPr>
            <w:hyperlink r:id="rId8" w:history="1">
              <w:r w:rsidR="007C6216" w:rsidRPr="00F71FB6">
                <w:rPr>
                  <w:rStyle w:val="a6"/>
                  <w:rFonts w:ascii="Arial" w:hAnsi="Arial" w:cs="Arial"/>
                </w:rPr>
                <w:t>https://scholar.google.com.ua/citations?user=Zs0YiSkAAAAJ&amp;hl=ru</w:t>
              </w:r>
            </w:hyperlink>
            <w:r w:rsidR="007C6216" w:rsidRPr="00D82FBE">
              <w:rPr>
                <w:rFonts w:ascii="Arial" w:hAnsi="Arial" w:cs="Arial"/>
              </w:rPr>
              <w:t xml:space="preserve"> </w:t>
            </w:r>
          </w:p>
          <w:p w:rsidR="007C6216" w:rsidRPr="00D82FBE" w:rsidRDefault="007C6216" w:rsidP="007C6216">
            <w:pPr>
              <w:pStyle w:val="Default"/>
              <w:jc w:val="both"/>
            </w:pPr>
            <w:proofErr w:type="spellStart"/>
            <w:r w:rsidRPr="00D82FBE">
              <w:t>контактний</w:t>
            </w:r>
            <w:proofErr w:type="spellEnd"/>
            <w:r w:rsidRPr="00D82FBE">
              <w:t xml:space="preserve"> телефон: (05</w:t>
            </w:r>
            <w:r w:rsidRPr="00D82FBE">
              <w:rPr>
                <w:lang w:val="uk-UA"/>
              </w:rPr>
              <w:t>0</w:t>
            </w:r>
            <w:r w:rsidRPr="00D82FBE">
              <w:t>)</w:t>
            </w:r>
            <w:r w:rsidRPr="00D82FBE">
              <w:rPr>
                <w:lang w:val="uk-UA"/>
              </w:rPr>
              <w:t>590</w:t>
            </w:r>
            <w:r w:rsidRPr="00D82FBE">
              <w:t>-7</w:t>
            </w:r>
            <w:r w:rsidRPr="00D82FBE">
              <w:rPr>
                <w:lang w:val="uk-UA"/>
              </w:rPr>
              <w:t>2</w:t>
            </w:r>
            <w:r w:rsidRPr="00D82FBE">
              <w:t>-</w:t>
            </w:r>
            <w:r w:rsidRPr="00D82FBE">
              <w:rPr>
                <w:lang w:val="uk-UA"/>
              </w:rPr>
              <w:t>0</w:t>
            </w:r>
            <w:r w:rsidRPr="00D82FBE">
              <w:t xml:space="preserve">4 </w:t>
            </w:r>
          </w:p>
          <w:p w:rsidR="00D7334F" w:rsidRDefault="007C6216" w:rsidP="007C6216">
            <w:pPr>
              <w:jc w:val="both"/>
              <w:rPr>
                <w:sz w:val="24"/>
                <w:szCs w:val="24"/>
              </w:rPr>
            </w:pPr>
            <w:r w:rsidRPr="00D82FBE">
              <w:t xml:space="preserve">електронна пошта: </w:t>
            </w:r>
            <w:hyperlink r:id="rId9" w:history="1">
              <w:r w:rsidRPr="004C416D">
                <w:rPr>
                  <w:rStyle w:val="a6"/>
                </w:rPr>
                <w:t>2017</w:t>
              </w:r>
              <w:r w:rsidRPr="004C416D">
                <w:rPr>
                  <w:rStyle w:val="a6"/>
                  <w:lang w:val="en-US"/>
                </w:rPr>
                <w:t>olgapetrovna</w:t>
              </w:r>
              <w:r w:rsidRPr="004C416D">
                <w:rPr>
                  <w:rStyle w:val="a6"/>
                </w:rPr>
                <w:t>@</w:t>
              </w:r>
              <w:r w:rsidRPr="004C416D">
                <w:rPr>
                  <w:rStyle w:val="a6"/>
                  <w:lang w:val="en-US"/>
                </w:rPr>
                <w:t>gmail</w:t>
              </w:r>
              <w:r w:rsidRPr="004C416D">
                <w:rPr>
                  <w:rStyle w:val="a6"/>
                </w:rPr>
                <w:t>.</w:t>
              </w:r>
              <w:r w:rsidRPr="004C416D">
                <w:rPr>
                  <w:rStyle w:val="a6"/>
                  <w:lang w:val="en-US"/>
                </w:rPr>
                <w:t>com</w:t>
              </w:r>
            </w:hyperlink>
            <w:r>
              <w:t xml:space="preserve"> </w:t>
            </w:r>
          </w:p>
        </w:tc>
      </w:tr>
      <w:tr w:rsidR="00F71FB6" w:rsidTr="002076C2">
        <w:tc>
          <w:tcPr>
            <w:tcW w:w="3402" w:type="dxa"/>
            <w:vMerge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Default="00D7334F" w:rsidP="007C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корпоративний Е-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 w:rsidR="007C6216">
              <w:rPr>
                <w:sz w:val="24"/>
                <w:szCs w:val="24"/>
              </w:rPr>
              <w:t xml:space="preserve"> </w:t>
            </w:r>
            <w:hyperlink r:id="rId10" w:history="1">
              <w:r w:rsidR="007C6216" w:rsidRPr="00085989">
                <w:rPr>
                  <w:rStyle w:val="a6"/>
                  <w:lang w:val="en-US"/>
                </w:rPr>
                <w:t>o</w:t>
              </w:r>
              <w:r w:rsidR="007C6216" w:rsidRPr="00085989">
                <w:rPr>
                  <w:rStyle w:val="a6"/>
                </w:rPr>
                <w:t>.</w:t>
              </w:r>
              <w:r w:rsidR="007C6216" w:rsidRPr="00085989">
                <w:rPr>
                  <w:rStyle w:val="a6"/>
                  <w:lang w:val="en-US"/>
                </w:rPr>
                <w:t>p</w:t>
              </w:r>
              <w:r w:rsidR="007C6216" w:rsidRPr="00085989">
                <w:rPr>
                  <w:rStyle w:val="a6"/>
                </w:rPr>
                <w:t>.</w:t>
              </w:r>
              <w:r w:rsidR="007C6216" w:rsidRPr="00085989">
                <w:rPr>
                  <w:rStyle w:val="a6"/>
                  <w:lang w:val="en-US"/>
                </w:rPr>
                <w:t>luchaninova</w:t>
              </w:r>
              <w:r w:rsidR="007C6216" w:rsidRPr="00085989">
                <w:rPr>
                  <w:rStyle w:val="a6"/>
                  <w:lang w:val="ru-RU"/>
                </w:rPr>
                <w:t>@</w:t>
              </w:r>
              <w:r w:rsidR="007C6216" w:rsidRPr="00085989">
                <w:rPr>
                  <w:rStyle w:val="a6"/>
                  <w:lang w:val="en-US"/>
                </w:rPr>
                <w:t>ust</w:t>
              </w:r>
              <w:r w:rsidR="007C6216" w:rsidRPr="00085989">
                <w:rPr>
                  <w:rStyle w:val="a6"/>
                </w:rPr>
                <w:t>.</w:t>
              </w:r>
              <w:r w:rsidR="007C6216" w:rsidRPr="00085989">
                <w:rPr>
                  <w:rStyle w:val="a6"/>
                  <w:lang w:val="en-US"/>
                </w:rPr>
                <w:t>edu</w:t>
              </w:r>
              <w:r w:rsidR="007C6216" w:rsidRPr="00085989">
                <w:rPr>
                  <w:rStyle w:val="a6"/>
                </w:rPr>
                <w:t>.</w:t>
              </w:r>
              <w:proofErr w:type="spellStart"/>
              <w:r w:rsidR="007C6216" w:rsidRPr="00085989">
                <w:rPr>
                  <w:rStyle w:val="a6"/>
                  <w:lang w:val="en-US"/>
                </w:rPr>
                <w:t>ua</w:t>
              </w:r>
              <w:proofErr w:type="spellEnd"/>
            </w:hyperlink>
          </w:p>
        </w:tc>
      </w:tr>
      <w:tr w:rsidR="00F71FB6" w:rsidTr="002076C2">
        <w:tc>
          <w:tcPr>
            <w:tcW w:w="3402" w:type="dxa"/>
            <w:vMerge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Default="00D7334F" w:rsidP="007C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лінк на персональну сторінку викладача на сайті кафедри</w:t>
            </w:r>
          </w:p>
        </w:tc>
      </w:tr>
      <w:tr w:rsidR="00F71FB6" w:rsidTr="002076C2">
        <w:trPr>
          <w:trHeight w:val="383"/>
        </w:trPr>
        <w:tc>
          <w:tcPr>
            <w:tcW w:w="3402" w:type="dxa"/>
            <w:vMerge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Default="00D7334F" w:rsidP="007C62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лінк на дисципліну (за наявністю)</w:t>
            </w:r>
          </w:p>
        </w:tc>
      </w:tr>
      <w:tr w:rsidR="00F71FB6" w:rsidTr="002076C2">
        <w:trPr>
          <w:trHeight w:val="645"/>
        </w:trPr>
        <w:tc>
          <w:tcPr>
            <w:tcW w:w="3402" w:type="dxa"/>
            <w:vMerge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Default="00D7334F" w:rsidP="007C62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місцезнаходження кафедри, номер кімнати, номер телефону</w:t>
            </w:r>
          </w:p>
          <w:p w:rsidR="007C6216" w:rsidRDefault="007C6216" w:rsidP="007C62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к.445, к. 268</w:t>
            </w:r>
          </w:p>
        </w:tc>
      </w:tr>
    </w:tbl>
    <w:p w:rsidR="00D7334F" w:rsidRDefault="00D7334F" w:rsidP="007C6216">
      <w:pPr>
        <w:jc w:val="both"/>
        <w:rPr>
          <w:b/>
          <w:bCs/>
          <w:sz w:val="24"/>
          <w:szCs w:val="24"/>
        </w:rPr>
      </w:pPr>
    </w:p>
    <w:tbl>
      <w:tblPr>
        <w:tblW w:w="963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3"/>
      </w:tblGrid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7653" w:type="dxa"/>
          </w:tcPr>
          <w:p w:rsidR="00D7334F" w:rsidRPr="007C6216" w:rsidRDefault="007C6216" w:rsidP="007C6216">
            <w:pPr>
              <w:jc w:val="both"/>
              <w:rPr>
                <w:color w:val="244061"/>
                <w:sz w:val="24"/>
                <w:szCs w:val="24"/>
              </w:rPr>
            </w:pPr>
            <w:r w:rsidRPr="007C6216">
              <w:rPr>
                <w:color w:val="244061"/>
                <w:sz w:val="24"/>
                <w:szCs w:val="24"/>
              </w:rPr>
              <w:t>Дисципліна викладається після вивчення дисциплін</w:t>
            </w:r>
            <w:r w:rsidR="00590E7A">
              <w:rPr>
                <w:color w:val="244061"/>
                <w:sz w:val="24"/>
                <w:szCs w:val="24"/>
              </w:rPr>
              <w:t xml:space="preserve"> загального циклу </w:t>
            </w:r>
            <w:r w:rsidRPr="007C6216">
              <w:rPr>
                <w:color w:val="244061"/>
                <w:sz w:val="24"/>
                <w:szCs w:val="24"/>
              </w:rPr>
              <w:t xml:space="preserve"> 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7653" w:type="dxa"/>
          </w:tcPr>
          <w:p w:rsidR="00D7334F" w:rsidRPr="00590E7A" w:rsidRDefault="00BA66BF" w:rsidP="007C6216">
            <w:pPr>
              <w:jc w:val="both"/>
              <w:rPr>
                <w:color w:val="244061"/>
                <w:sz w:val="24"/>
                <w:szCs w:val="24"/>
              </w:rPr>
            </w:pPr>
            <w:r w:rsidRPr="00590E7A">
              <w:rPr>
                <w:color w:val="244061"/>
                <w:sz w:val="24"/>
                <w:szCs w:val="24"/>
              </w:rPr>
              <w:t xml:space="preserve">формування у студентів критичного педагогічного мислення; здатності аналізувати практику вищої школи, виявляти суперечності, які потребують розв’язання для впровадження європейських стандартів освіти і забезпечення якості освіти сталого розвитку суспільства; </w:t>
            </w:r>
            <w:r w:rsidRPr="00590E7A">
              <w:rPr>
                <w:color w:val="244061"/>
                <w:sz w:val="24"/>
                <w:szCs w:val="24"/>
              </w:rPr>
              <w:lastRenderedPageBreak/>
              <w:t>обґрунтовувати оптимальні шляхи розв’язання виявлених протиріч.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7653" w:type="dxa"/>
          </w:tcPr>
          <w:p w:rsidR="00D7334F" w:rsidRPr="00363444" w:rsidRDefault="00FF2118" w:rsidP="007C6216">
            <w:pPr>
              <w:jc w:val="both"/>
              <w:rPr>
                <w:color w:val="244061"/>
                <w:sz w:val="24"/>
                <w:szCs w:val="24"/>
              </w:rPr>
            </w:pPr>
            <w:r w:rsidRPr="00363444">
              <w:rPr>
                <w:color w:val="244061"/>
                <w:sz w:val="24"/>
                <w:szCs w:val="24"/>
              </w:rPr>
              <w:t xml:space="preserve">ОРН1 </w:t>
            </w:r>
            <w:r w:rsidR="00BA66BF" w:rsidRPr="00363444">
              <w:rPr>
                <w:color w:val="244061"/>
                <w:sz w:val="24"/>
                <w:szCs w:val="24"/>
              </w:rPr>
              <w:t>Знати глобальні тенденції та проблеми розвитку освіти в Україні, застосовувати методи  дослідження для аналізу нормативних документів, практики вищої школи та здійснювати інформаційний пошук матеріалів для педагогічного дослідження із застосовуванням Інтернет-технологій</w:t>
            </w:r>
            <w:r w:rsidR="009540EE" w:rsidRPr="00363444">
              <w:rPr>
                <w:color w:val="244061"/>
                <w:sz w:val="24"/>
                <w:szCs w:val="24"/>
              </w:rPr>
              <w:t>.</w:t>
            </w:r>
          </w:p>
          <w:p w:rsidR="00BA66BF" w:rsidRPr="00363444" w:rsidRDefault="00FF2118" w:rsidP="00BA66BF">
            <w:pPr>
              <w:jc w:val="both"/>
              <w:rPr>
                <w:color w:val="244061"/>
                <w:sz w:val="24"/>
                <w:szCs w:val="24"/>
              </w:rPr>
            </w:pPr>
            <w:r w:rsidRPr="00363444">
              <w:rPr>
                <w:color w:val="244061"/>
                <w:sz w:val="24"/>
                <w:szCs w:val="24"/>
              </w:rPr>
              <w:t xml:space="preserve">ОРН2 </w:t>
            </w:r>
            <w:r w:rsidR="009540EE" w:rsidRPr="00363444">
              <w:rPr>
                <w:color w:val="244061"/>
                <w:sz w:val="24"/>
                <w:szCs w:val="24"/>
              </w:rPr>
              <w:t xml:space="preserve">критично аналізувати сучасну практику вищої школи крізь призму сучасних педагогічних концепцій та виявляти протиріччя між сучасним замовленням на </w:t>
            </w:r>
            <w:proofErr w:type="spellStart"/>
            <w:r w:rsidR="009540EE" w:rsidRPr="00363444">
              <w:rPr>
                <w:color w:val="244061"/>
                <w:sz w:val="24"/>
                <w:szCs w:val="24"/>
              </w:rPr>
              <w:t>професійно</w:t>
            </w:r>
            <w:proofErr w:type="spellEnd"/>
            <w:r w:rsidR="009540EE" w:rsidRPr="00363444">
              <w:rPr>
                <w:color w:val="244061"/>
                <w:sz w:val="24"/>
                <w:szCs w:val="24"/>
              </w:rPr>
              <w:t xml:space="preserve"> мобільного і </w:t>
            </w:r>
            <w:proofErr w:type="spellStart"/>
            <w:r w:rsidR="009540EE" w:rsidRPr="00363444">
              <w:rPr>
                <w:color w:val="244061"/>
                <w:sz w:val="24"/>
                <w:szCs w:val="24"/>
              </w:rPr>
              <w:t>конкурентноспроможного</w:t>
            </w:r>
            <w:proofErr w:type="spellEnd"/>
            <w:r w:rsidR="009540EE" w:rsidRPr="00363444">
              <w:rPr>
                <w:color w:val="244061"/>
                <w:sz w:val="24"/>
                <w:szCs w:val="24"/>
              </w:rPr>
              <w:t xml:space="preserve"> фахівця, здатного до навчання впродовж життя, та існуючою практикою.</w:t>
            </w:r>
          </w:p>
          <w:p w:rsidR="00FF2118" w:rsidRDefault="00FF2118" w:rsidP="00BA66B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363444">
              <w:rPr>
                <w:color w:val="244061"/>
                <w:sz w:val="24"/>
                <w:szCs w:val="24"/>
              </w:rPr>
              <w:t>ОРН3</w:t>
            </w:r>
            <w:r w:rsidRPr="00363444">
              <w:rPr>
                <w:sz w:val="24"/>
                <w:szCs w:val="24"/>
              </w:rPr>
              <w:t xml:space="preserve"> </w:t>
            </w:r>
            <w:r w:rsidR="009540EE" w:rsidRPr="00363444">
              <w:rPr>
                <w:sz w:val="24"/>
                <w:szCs w:val="24"/>
              </w:rPr>
              <w:t>визначати ефективні методи, засоби, технології для вирішення конкретних педагогічних завдань на матеріалі дисциплін спеціалізації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Зміст дисципліни</w:t>
            </w:r>
          </w:p>
        </w:tc>
        <w:tc>
          <w:tcPr>
            <w:tcW w:w="7653" w:type="dxa"/>
          </w:tcPr>
          <w:p w:rsidR="007C6216" w:rsidRPr="00B6385D" w:rsidRDefault="007C6216" w:rsidP="007C6216">
            <w:pPr>
              <w:pStyle w:val="1"/>
              <w:shd w:val="clear" w:color="auto" w:fill="FFFFFF"/>
              <w:tabs>
                <w:tab w:val="left" w:pos="92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9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4869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540EE" w:rsidRPr="009540EE">
              <w:rPr>
                <w:rFonts w:ascii="Times New Roman" w:hAnsi="Times New Roman"/>
                <w:sz w:val="24"/>
                <w:szCs w:val="24"/>
                <w:lang w:val="uk-UA"/>
              </w:rPr>
              <w:t>Глобальні тенденції та проблеми розвитку освіти в Україні</w:t>
            </w:r>
            <w:r w:rsidRPr="00B6385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3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C6216" w:rsidRPr="00DD15C0" w:rsidRDefault="007C6216" w:rsidP="007C6216">
            <w:pPr>
              <w:pStyle w:val="1"/>
              <w:shd w:val="clear" w:color="auto" w:fill="FFFFFF"/>
              <w:tabs>
                <w:tab w:val="left" w:pos="80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  <w:r w:rsidRPr="00B63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540EE" w:rsidRPr="009540EE">
              <w:rPr>
                <w:rFonts w:ascii="Times New Roman" w:hAnsi="Times New Roman"/>
                <w:sz w:val="24"/>
                <w:szCs w:val="24"/>
                <w:lang w:val="uk-UA"/>
              </w:rPr>
              <w:t>Проблеми управління якістю підготовки фахівців</w:t>
            </w:r>
            <w:r w:rsidRPr="00DD15C0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D7334F" w:rsidRDefault="007C6216" w:rsidP="00F71FB6">
            <w:pPr>
              <w:pStyle w:val="1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DD15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3</w:t>
            </w:r>
            <w:r w:rsidRPr="00DD15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540EE" w:rsidRPr="009540EE">
              <w:rPr>
                <w:rFonts w:ascii="Times New Roman" w:hAnsi="Times New Roman"/>
                <w:sz w:val="24"/>
                <w:szCs w:val="24"/>
                <w:lang w:val="uk-UA"/>
              </w:rPr>
              <w:t>Проблеми та перспективи реалізації принципів Болонського процесу в Україні</w:t>
            </w:r>
            <w:r w:rsidRPr="00DD15C0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7653" w:type="dxa"/>
          </w:tcPr>
          <w:p w:rsidR="00D7334F" w:rsidRPr="00F71FB6" w:rsidRDefault="007C6216" w:rsidP="00F71FB6">
            <w:pPr>
              <w:pStyle w:val="1"/>
              <w:shd w:val="clear" w:color="auto" w:fill="FFFFFF"/>
              <w:spacing w:after="0" w:line="240" w:lineRule="auto"/>
              <w:ind w:left="34"/>
              <w:contextualSpacing w:val="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F71FB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модулів 1-</w:t>
            </w:r>
            <w:r w:rsidRPr="00F71FB6">
              <w:rPr>
                <w:rFonts w:ascii="Times New Roman" w:hAnsi="Times New Roman"/>
                <w:sz w:val="24"/>
                <w:szCs w:val="24"/>
              </w:rPr>
              <w:t>3</w:t>
            </w:r>
            <w:r w:rsidRPr="00F71F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виконання двох підсумкових контрольних робіт у тестовій формі. Оцінювання кожного модуля здійснюється за 12-бальною шкалою. Семестрова оцінка 2 семестру визначається як середнє арифметичне модульних оцінок 1, 2, 3 модулів</w:t>
            </w:r>
            <w:r w:rsidRPr="00F71FB6">
              <w:rPr>
                <w:sz w:val="24"/>
                <w:szCs w:val="24"/>
              </w:rPr>
              <w:t xml:space="preserve">. </w:t>
            </w:r>
            <w:r w:rsidRPr="00F71FB6"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оцінка навчальної дисципліни визначається як середнє арифметичне 4 модульних оцінок за 12-бальною шкалою.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7653" w:type="dxa"/>
          </w:tcPr>
          <w:p w:rsidR="005F20AE" w:rsidRPr="005F20AE" w:rsidRDefault="005F20AE" w:rsidP="007C6216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5F20AE">
              <w:rPr>
                <w:sz w:val="22"/>
                <w:szCs w:val="22"/>
              </w:rPr>
              <w:t>Під час занять або поза ними студент має демонструвати повагу та толерантність по відношенню до усіх учасників освітнього процесу (студенти, викладачі, допоміжний персонал). Студенти повинні дотримуватися правил внутрішнього розпорядку</w:t>
            </w:r>
            <w:r w:rsidRPr="005F20AE">
              <w:rPr>
                <w:sz w:val="22"/>
                <w:szCs w:val="22"/>
              </w:rPr>
              <w:t xml:space="preserve"> закладу</w:t>
            </w:r>
            <w:r w:rsidRPr="005F20AE">
              <w:rPr>
                <w:sz w:val="22"/>
                <w:szCs w:val="22"/>
              </w:rPr>
              <w:t>, усіх принципів та положень нормативних документів щодо організації навчального процесу у ЗВО</w:t>
            </w:r>
            <w:r w:rsidRPr="005F20AE"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t>Відвідування занять з дисципліни є обов’язковим. Винятки можливі лише для студентів із обмеженими можливостями з поважних причин.</w:t>
            </w:r>
          </w:p>
          <w:bookmarkEnd w:id="0"/>
          <w:p w:rsidR="00D7334F" w:rsidRPr="009540EE" w:rsidRDefault="00F71FB6" w:rsidP="007C6216">
            <w:pPr>
              <w:jc w:val="both"/>
              <w:rPr>
                <w:b/>
                <w:bCs/>
                <w:color w:val="244061"/>
                <w:sz w:val="22"/>
                <w:szCs w:val="22"/>
              </w:rPr>
            </w:pPr>
            <w:r w:rsidRPr="009540EE">
              <w:rPr>
                <w:sz w:val="22"/>
                <w:szCs w:val="22"/>
              </w:rPr>
              <w:t>Дотримання Кодексу академічної доброчесності:  самостійне, творче виконання усіх видів навчальних робіт включно на контрольних заходах (тести, екзамени тощо);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джерела; консультування з викладачами у рамках підготовки / виконання самостійної роботи є допоміжним заходом для якісного опрацювання матеріалу та підготовки кінцевого академічного продукту.</w:t>
            </w:r>
          </w:p>
        </w:tc>
      </w:tr>
      <w:tr w:rsidR="00D7334F" w:rsidTr="00590E7A">
        <w:tc>
          <w:tcPr>
            <w:tcW w:w="1985" w:type="dxa"/>
          </w:tcPr>
          <w:p w:rsidR="00D7334F" w:rsidRDefault="00D7334F" w:rsidP="007C6216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7653" w:type="dxa"/>
          </w:tcPr>
          <w:p w:rsidR="00D7334F" w:rsidRDefault="007C6216" w:rsidP="007C6216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6B5C0C">
              <w:rPr>
                <w:sz w:val="24"/>
                <w:szCs w:val="24"/>
              </w:rPr>
              <w:t xml:space="preserve">Навчальний процес передбачає </w:t>
            </w:r>
            <w:r>
              <w:rPr>
                <w:sz w:val="24"/>
                <w:szCs w:val="24"/>
              </w:rPr>
              <w:t xml:space="preserve">як діалог, комунікативні ситуації, педагогічний дискурс, так і </w:t>
            </w:r>
            <w:r w:rsidRPr="006B5C0C">
              <w:rPr>
                <w:sz w:val="24"/>
                <w:szCs w:val="24"/>
              </w:rPr>
              <w:t xml:space="preserve">використання мультимедійного комплексу, </w:t>
            </w:r>
            <w:r w:rsidRPr="00E36E17">
              <w:rPr>
                <w:sz w:val="24"/>
                <w:szCs w:val="24"/>
              </w:rPr>
              <w:t xml:space="preserve">наявність проектора, електронних презентацій з тем курсу, які розроблені в програмі PowerPoint та оболонки  </w:t>
            </w:r>
            <w:proofErr w:type="spellStart"/>
            <w:r w:rsidRPr="00E36E17">
              <w:rPr>
                <w:sz w:val="24"/>
                <w:szCs w:val="24"/>
              </w:rPr>
              <w:t>гуглкласу</w:t>
            </w:r>
            <w:proofErr w:type="spellEnd"/>
            <w:r w:rsidRPr="00E36E17">
              <w:rPr>
                <w:sz w:val="24"/>
                <w:szCs w:val="24"/>
              </w:rPr>
              <w:t xml:space="preserve"> для роботи в системі дистанційного навчання</w:t>
            </w:r>
          </w:p>
        </w:tc>
      </w:tr>
      <w:tr w:rsidR="00D7334F" w:rsidRPr="009540EE" w:rsidTr="00590E7A">
        <w:tc>
          <w:tcPr>
            <w:tcW w:w="1985" w:type="dxa"/>
          </w:tcPr>
          <w:p w:rsidR="00D7334F" w:rsidRPr="009540EE" w:rsidRDefault="00D7334F" w:rsidP="007C6216">
            <w:pPr>
              <w:jc w:val="both"/>
              <w:rPr>
                <w:b/>
                <w:color w:val="244061"/>
                <w:sz w:val="24"/>
                <w:szCs w:val="24"/>
              </w:rPr>
            </w:pPr>
            <w:r w:rsidRPr="009540EE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653" w:type="dxa"/>
          </w:tcPr>
          <w:p w:rsidR="007C6216" w:rsidRPr="009540EE" w:rsidRDefault="007C6216" w:rsidP="007C6216">
            <w:pPr>
              <w:jc w:val="both"/>
              <w:rPr>
                <w:b/>
              </w:rPr>
            </w:pPr>
            <w:r w:rsidRPr="009540EE">
              <w:rPr>
                <w:b/>
              </w:rPr>
              <w:t>Основна (базова) література</w:t>
            </w:r>
          </w:p>
          <w:p w:rsidR="007C6216" w:rsidRPr="009540EE" w:rsidRDefault="007C6216" w:rsidP="009540EE">
            <w:pPr>
              <w:jc w:val="both"/>
              <w:rPr>
                <w:bCs/>
              </w:rPr>
            </w:pPr>
            <w:r w:rsidRPr="009540EE">
              <w:rPr>
                <w:bCs/>
              </w:rPr>
              <w:t xml:space="preserve"> 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Ващенко А. Перспективи розвитку професійної освіти в Україні. Збірник наукових статей. Випуск 5 (Спецвипуск) Секція «Історичні науки» http://ephsheir.uhsp.edu.ua/handle/8989898989/3083?locale-attribute=en  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2.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>Закон України «Про вищу освіту» (Відомості Верховної ради (ВВР), 2014, № 37-38, ст. 2004 [Електронний ресурс]. – Режим доступу:</w:t>
            </w:r>
            <w:r>
              <w:rPr>
                <w:bCs/>
                <w:color w:val="244061"/>
                <w:sz w:val="24"/>
                <w:szCs w:val="24"/>
              </w:rPr>
              <w:t xml:space="preserve"> </w:t>
            </w:r>
            <w:r w:rsidRPr="009540EE">
              <w:rPr>
                <w:bCs/>
                <w:color w:val="244061"/>
                <w:sz w:val="24"/>
                <w:szCs w:val="24"/>
              </w:rPr>
              <w:t xml:space="preserve">http://zakon2.rada.gov.ua/laws/show/1556-18. 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3.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Про Національну стратегію розвитку освіти в Україні на період до 2021 р. : Указ Президента України від 25.06.2013 №344 / [Електронний ресурс] / Офіційний вісник України. – 2013. – № 50. – 18 с. – Режим доступу : http://www.president.gov.ua/documents/15828.html 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lastRenderedPageBreak/>
              <w:t>4.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Гриневич Л. «Пріоритетні напрямки змін у вищій освіті на 2018-2019 роки». Режим доступу:  https://mon.gov.ua/storage/app/media/vishcha_osvita/infographik/MON_prioritety_new     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5.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Домбровська С. Якість освіти як одна із запорук вдалого державного реформування вищої школи України / С. Домбровська // Актуальні проблеми державного управління: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зб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>. наук. пр. – Х. : Вид-во Хар</w:t>
            </w:r>
            <w:r w:rsidR="00590E7A">
              <w:rPr>
                <w:bCs/>
                <w:color w:val="244061"/>
                <w:sz w:val="24"/>
                <w:szCs w:val="24"/>
              </w:rPr>
              <w:t>ків</w:t>
            </w:r>
            <w:r w:rsidRPr="009540EE">
              <w:rPr>
                <w:bCs/>
                <w:color w:val="244061"/>
                <w:sz w:val="24"/>
                <w:szCs w:val="24"/>
              </w:rPr>
              <w:t xml:space="preserve"> НАДУ «Магістр», 2011. – № 1 (39). 436 с. [Електронний ресурс]. – Режим доступу: http://www.kbuapa.kharkov.ua/e-book/apdu/2011-1/index.html 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6.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Коваленко О. Е., Коваленко Д.В.,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Брюханова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Н. О., Мельниченко О. О. Сучасний підхід до визначення та формування основних складових освітньої програми підготовки фахівців за спеціальністю 015 «Професійна освіта (за спеціалізаціями)»    Проблеми інженерно-педагогічної освіти: Збірник наукових праць.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Вип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>. 56-57, - 2017. – Харків. УІПА. – Режим доступу: http://repo.uipa.edu.ua/jspui/handle/123456789/5710 .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7.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Концепція розвитку інженерно-педагогічної освіти в Україні: проект /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Укр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. інж.-пед. академія; керівник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авт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кол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>. О. Е. Коваленко. –  Х.: Б. в., 2004. 19 с.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8.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Лукьянова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Л.  Освіта дорослих у контексті сучасної освітньої парадигми. Електронний документ. – Режим доступу: http://www.uaod.org.ua/data/PRO_OSVITU_DOROSLYH/OD_suchasna_paradygma.PDF 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9.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Лукьянова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Л. Тенденції розвитку освіти дорослих  Електронний документ. – Режим доступу: http://lib.iitta.gov.ua/7602/1/Тенденції%20розвитку%20освіти%20дорослих.pdf</w:t>
            </w:r>
          </w:p>
          <w:p w:rsidR="009540EE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10.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Лучанінова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О.П. Сучасний заклад вищої освіти як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освітньо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-науковий та культурний центр: вплив  виховної системи на успішність майбутнього фахівця Психолого-педагогічні засади успішності майбутнього фахівця: колективна монографія/ за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заг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. ред.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Агаркова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О.А. – Дніпро: ДДУВС, 2019. 224  с. С. 55-110.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11.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Щубелка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Н.В. Сучасна освіта в контексті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парадигмальних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зрушень. - Режим доступу: http://dspace.oneu.edu.ua/jspui/bitstream/123456789/2736/1/Сучасна%20освіта%20в%20контексті%20парадигмальних%20зрушень.pdf 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12.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Управління якістю освіти: досвід та інновації :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колект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. монографія / С. О. Шевченко, Г. В.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Єльникова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, Л. Л.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Сушенцева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, А. П.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Самодрин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, Л. М. Петренко; ред.: Л. Л.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Сушенцева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, Н. В.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Житник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>. - Дніпропетровськ : ІМА-прес, 2014. 461 c.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13.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 Хан Є. Участь України у Болонському процесі: 12 років на шляху до європейського історичного простору / Євген Хан // Європейські історичні студії. Електронний журнал. – Режим доступу: http://eustudies.history.knu.ua/yevgen-han-uchast-ukrayiny-u-bolonskomu-protsesi-12-rokiv-na-shlyahu-do-yevropejskogo-istorychnogo-prostoru/.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14.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Хомерікі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О.А. Українська вища освіта в умовах глобалізації: крок назад перед стрибком уперед, або шлях по замкненому колу? / О.А.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Хомерікі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// ГРАНІ. № 4 (120) квітень.  2015.  С. 36-40.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 xml:space="preserve">Допоміжна література 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15.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Сисоєва С. О., </w:t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Кристопчук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Т. Є. Освітні системи країн Європейського Союзу: загальна характеристика : навчальний посібник. </w:t>
            </w:r>
            <w:r w:rsidRPr="009540EE">
              <w:rPr>
                <w:bCs/>
                <w:color w:val="244061"/>
                <w:sz w:val="24"/>
                <w:szCs w:val="24"/>
              </w:rPr>
              <w:lastRenderedPageBreak/>
              <w:t>Рівне : Овід, 2012. 352 c.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16.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 xml:space="preserve">Селецький А. Розвиток професійної освіти і навчання в Україні. Аналітичний огляд. 2017. 32с.  http://dnpb.gov.ua/ua/informatsiyno-analitychni-resursy/analitychni-ohlyady/ </w:t>
            </w:r>
          </w:p>
          <w:p w:rsidR="009540EE" w:rsidRPr="009540EE" w:rsidRDefault="009540EE" w:rsidP="009540EE">
            <w:pPr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17.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</w:r>
            <w:proofErr w:type="spellStart"/>
            <w:r w:rsidRPr="009540EE">
              <w:rPr>
                <w:bCs/>
                <w:color w:val="244061"/>
                <w:sz w:val="24"/>
                <w:szCs w:val="24"/>
              </w:rPr>
              <w:t>Сокуренко</w:t>
            </w:r>
            <w:proofErr w:type="spellEnd"/>
            <w:r w:rsidRPr="009540EE">
              <w:rPr>
                <w:bCs/>
                <w:color w:val="244061"/>
                <w:sz w:val="24"/>
                <w:szCs w:val="24"/>
              </w:rPr>
              <w:t xml:space="preserve"> В. Актуальні проблеми правового забезпечення професійної освіти в Україні. Шлях успіху і перспективи розвитку. До 26 річниці заснування Харківського університету внутрішніх справ. Харків, 2020. С 37-40. http://dspace.univd.edu.ua/xmlui/bitstream/handle/123456789/9727/Aktualni%20problemy_Sokurenko_2020.pdf?sequence=1&amp;isAllowed=y </w:t>
            </w:r>
          </w:p>
          <w:p w:rsidR="009540EE" w:rsidRPr="00590E7A" w:rsidRDefault="009540EE" w:rsidP="009540EE">
            <w:pPr>
              <w:rPr>
                <w:b/>
                <w:color w:val="244061"/>
                <w:sz w:val="24"/>
                <w:szCs w:val="24"/>
              </w:rPr>
            </w:pPr>
            <w:r w:rsidRPr="00590E7A">
              <w:rPr>
                <w:b/>
                <w:color w:val="244061"/>
                <w:sz w:val="24"/>
                <w:szCs w:val="24"/>
              </w:rPr>
              <w:t xml:space="preserve">Інформаційні ресурси в Інтернеті </w:t>
            </w:r>
          </w:p>
          <w:p w:rsidR="00D7334F" w:rsidRPr="009540EE" w:rsidRDefault="009540EE" w:rsidP="009540EE">
            <w:pPr>
              <w:jc w:val="both"/>
              <w:rPr>
                <w:bCs/>
                <w:color w:val="244061"/>
                <w:sz w:val="24"/>
                <w:szCs w:val="24"/>
              </w:rPr>
            </w:pPr>
            <w:r w:rsidRPr="009540EE">
              <w:rPr>
                <w:bCs/>
                <w:color w:val="244061"/>
                <w:sz w:val="24"/>
                <w:szCs w:val="24"/>
              </w:rPr>
              <w:t>1.</w:t>
            </w:r>
            <w:r w:rsidRPr="009540EE">
              <w:rPr>
                <w:bCs/>
                <w:color w:val="244061"/>
                <w:sz w:val="24"/>
                <w:szCs w:val="24"/>
              </w:rPr>
              <w:tab/>
              <w:t>Міністерство освіти і науки України https://mon.gov.ua/ua</w:t>
            </w:r>
          </w:p>
        </w:tc>
      </w:tr>
    </w:tbl>
    <w:p w:rsidR="00D7334F" w:rsidRPr="009540EE" w:rsidRDefault="00D7334F" w:rsidP="007C6216">
      <w:pPr>
        <w:shd w:val="clear" w:color="auto" w:fill="FFFFFF"/>
        <w:jc w:val="both"/>
        <w:textAlignment w:val="baseline"/>
        <w:rPr>
          <w:bCs/>
          <w:sz w:val="16"/>
          <w:szCs w:val="16"/>
          <w:vertAlign w:val="superscript"/>
          <w:lang w:val="ru-RU"/>
        </w:rPr>
      </w:pPr>
    </w:p>
    <w:p w:rsidR="00262DCD" w:rsidRPr="009540EE" w:rsidRDefault="00262DCD" w:rsidP="007C6216">
      <w:pPr>
        <w:jc w:val="both"/>
        <w:rPr>
          <w:bCs/>
        </w:rPr>
      </w:pPr>
    </w:p>
    <w:sectPr w:rsidR="00262DCD" w:rsidRPr="009540E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F7" w:rsidRDefault="00FC4C31">
      <w:r>
        <w:separator/>
      </w:r>
    </w:p>
  </w:endnote>
  <w:endnote w:type="continuationSeparator" w:id="0">
    <w:p w:rsidR="002F50F7" w:rsidRDefault="00F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B61" w:rsidRDefault="005F20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:rsidR="00CB3B61" w:rsidRDefault="005F20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F7" w:rsidRDefault="00FC4C31">
      <w:r>
        <w:separator/>
      </w:r>
    </w:p>
  </w:footnote>
  <w:footnote w:type="continuationSeparator" w:id="0">
    <w:p w:rsidR="002F50F7" w:rsidRDefault="00FC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262DCD"/>
    <w:rsid w:val="002F50F7"/>
    <w:rsid w:val="00363444"/>
    <w:rsid w:val="00590E7A"/>
    <w:rsid w:val="005F20AE"/>
    <w:rsid w:val="007C6216"/>
    <w:rsid w:val="009540EE"/>
    <w:rsid w:val="00BA66BF"/>
    <w:rsid w:val="00CA1617"/>
    <w:rsid w:val="00D06913"/>
    <w:rsid w:val="00D7334F"/>
    <w:rsid w:val="00F71FB6"/>
    <w:rsid w:val="00FC4C31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CDBF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rsid w:val="007C6216"/>
    <w:rPr>
      <w:color w:val="0000FF"/>
      <w:u w:val="single"/>
    </w:rPr>
  </w:style>
  <w:style w:type="paragraph" w:customStyle="1" w:styleId="Default">
    <w:name w:val="Default"/>
    <w:rsid w:val="007C621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a7">
    <w:name w:val="Unresolved Mention"/>
    <w:basedOn w:val="a0"/>
    <w:uiPriority w:val="99"/>
    <w:semiHidden/>
    <w:unhideWhenUsed/>
    <w:rsid w:val="007C6216"/>
    <w:rPr>
      <w:color w:val="605E5C"/>
      <w:shd w:val="clear" w:color="auto" w:fill="E1DFDD"/>
    </w:rPr>
  </w:style>
  <w:style w:type="paragraph" w:customStyle="1" w:styleId="1">
    <w:name w:val="Абзац списка1"/>
    <w:basedOn w:val="a"/>
    <w:qFormat/>
    <w:rsid w:val="007C62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Zs0YiSkAAAAJ&amp;hl=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.p.luchaninova@ust.edu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017olgapetrovn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Marianna</cp:lastModifiedBy>
  <cp:revision>7</cp:revision>
  <dcterms:created xsi:type="dcterms:W3CDTF">2023-01-03T12:39:00Z</dcterms:created>
  <dcterms:modified xsi:type="dcterms:W3CDTF">2023-01-11T07:06:00Z</dcterms:modified>
</cp:coreProperties>
</file>